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A60BA" w14:textId="7F9C0CDD" w:rsidR="006C5A6A" w:rsidRPr="001572CF" w:rsidRDefault="001512D9" w:rsidP="001512D9">
      <w:pPr>
        <w:pStyle w:val="BodyText"/>
        <w:kinsoku w:val="0"/>
        <w:overflowPunct w:val="0"/>
        <w:spacing w:before="148" w:line="360" w:lineRule="auto"/>
        <w:ind w:left="120"/>
        <w:rPr>
          <w:b/>
          <w:bCs/>
        </w:rPr>
      </w:pPr>
      <w:r w:rsidRPr="00B625E4">
        <w:rPr>
          <w:rFonts w:ascii="Times New Roman" w:hAnsi="Times New Roman" w:cs="Times New Roman"/>
          <w:b/>
          <w:noProof/>
          <w:sz w:val="24"/>
          <w:szCs w:val="24"/>
        </w:rPr>
        <w:drawing>
          <wp:anchor distT="0" distB="0" distL="114300" distR="114300" simplePos="0" relativeHeight="251658244" behindDoc="0" locked="0" layoutInCell="1" allowOverlap="1" wp14:anchorId="321E8E00" wp14:editId="0B66F1F1">
            <wp:simplePos x="0" y="0"/>
            <wp:positionH relativeFrom="column">
              <wp:posOffset>8593455</wp:posOffset>
            </wp:positionH>
            <wp:positionV relativeFrom="paragraph">
              <wp:posOffset>160655</wp:posOffset>
            </wp:positionV>
            <wp:extent cx="1190625" cy="676275"/>
            <wp:effectExtent l="0" t="0" r="9525" b="9525"/>
            <wp:wrapThrough wrapText="bothSides">
              <wp:wrapPolygon edited="0">
                <wp:start x="0" y="0"/>
                <wp:lineTo x="0" y="21296"/>
                <wp:lineTo x="21427" y="21296"/>
                <wp:lineTo x="2142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676275"/>
                    </a:xfrm>
                    <a:prstGeom prst="rect">
                      <a:avLst/>
                    </a:prstGeom>
                    <a:noFill/>
                    <a:ln>
                      <a:noFill/>
                    </a:ln>
                  </pic:spPr>
                </pic:pic>
              </a:graphicData>
            </a:graphic>
          </wp:anchor>
        </w:drawing>
      </w:r>
      <w:r w:rsidR="006B2D17">
        <w:rPr>
          <w:b/>
          <w:bCs/>
          <w:noProof/>
          <w:sz w:val="18"/>
          <w:szCs w:val="18"/>
        </w:rPr>
        <w:drawing>
          <wp:anchor distT="0" distB="0" distL="114300" distR="114300" simplePos="0" relativeHeight="251658243" behindDoc="0" locked="0" layoutInCell="1" allowOverlap="1" wp14:anchorId="642BD8BF" wp14:editId="195EE9B8">
            <wp:simplePos x="0" y="0"/>
            <wp:positionH relativeFrom="column">
              <wp:posOffset>152400</wp:posOffset>
            </wp:positionH>
            <wp:positionV relativeFrom="paragraph">
              <wp:posOffset>0</wp:posOffset>
            </wp:positionV>
            <wp:extent cx="752475" cy="836930"/>
            <wp:effectExtent l="0" t="0" r="9525" b="1270"/>
            <wp:wrapThrough wrapText="bothSides">
              <wp:wrapPolygon edited="0">
                <wp:start x="3828" y="0"/>
                <wp:lineTo x="547" y="7866"/>
                <wp:lineTo x="0" y="11800"/>
                <wp:lineTo x="0" y="21141"/>
                <wp:lineTo x="20780" y="21141"/>
                <wp:lineTo x="21327" y="17208"/>
                <wp:lineTo x="21327" y="12291"/>
                <wp:lineTo x="20233" y="7866"/>
                <wp:lineTo x="16405" y="0"/>
                <wp:lineTo x="3828"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836930"/>
                    </a:xfrm>
                    <a:prstGeom prst="rect">
                      <a:avLst/>
                    </a:prstGeom>
                    <a:noFill/>
                  </pic:spPr>
                </pic:pic>
              </a:graphicData>
            </a:graphic>
            <wp14:sizeRelH relativeFrom="margin">
              <wp14:pctWidth>0</wp14:pctWidth>
            </wp14:sizeRelH>
            <wp14:sizeRelV relativeFrom="margin">
              <wp14:pctHeight>0</wp14:pctHeight>
            </wp14:sizeRelV>
          </wp:anchor>
        </w:drawing>
      </w:r>
      <w:r w:rsidR="00D8042B">
        <w:t xml:space="preserve"> </w:t>
      </w:r>
      <w:r w:rsidR="006C5A6A" w:rsidRPr="00D23124">
        <w:rPr>
          <w:b/>
          <w:bCs/>
          <w:sz w:val="36"/>
          <w:szCs w:val="36"/>
        </w:rPr>
        <w:t>Five Spires Academy</w:t>
      </w:r>
      <w:r w:rsidR="00BA3864" w:rsidRPr="00D23124">
        <w:rPr>
          <w:b/>
          <w:bCs/>
          <w:sz w:val="36"/>
          <w:szCs w:val="36"/>
        </w:rPr>
        <w:t xml:space="preserve"> </w:t>
      </w:r>
      <w:r w:rsidR="00386323">
        <w:rPr>
          <w:b/>
          <w:bCs/>
          <w:sz w:val="36"/>
          <w:szCs w:val="36"/>
        </w:rPr>
        <w:t xml:space="preserve">Equality Objectives </w:t>
      </w:r>
      <w:r w:rsidR="00BA3864" w:rsidRPr="00D23124">
        <w:rPr>
          <w:b/>
          <w:bCs/>
          <w:sz w:val="36"/>
          <w:szCs w:val="36"/>
        </w:rPr>
        <w:t>202</w:t>
      </w:r>
      <w:r w:rsidR="006F1431" w:rsidRPr="00D23124">
        <w:rPr>
          <w:b/>
          <w:bCs/>
          <w:sz w:val="36"/>
          <w:szCs w:val="36"/>
        </w:rPr>
        <w:t>6</w:t>
      </w:r>
      <w:r w:rsidR="00BA3864" w:rsidRPr="00D23124">
        <w:rPr>
          <w:b/>
          <w:bCs/>
          <w:sz w:val="36"/>
          <w:szCs w:val="36"/>
        </w:rPr>
        <w:t>-202</w:t>
      </w:r>
      <w:r w:rsidR="006F1431" w:rsidRPr="00D23124">
        <w:rPr>
          <w:b/>
          <w:bCs/>
          <w:sz w:val="36"/>
          <w:szCs w:val="36"/>
        </w:rPr>
        <w:t>7</w:t>
      </w:r>
    </w:p>
    <w:p w14:paraId="5D4D7930" w14:textId="6E9D5A6F" w:rsidR="006C5A6A" w:rsidRDefault="006C5A6A" w:rsidP="001512D9">
      <w:pPr>
        <w:pStyle w:val="BodyText"/>
        <w:kinsoku w:val="0"/>
        <w:overflowPunct w:val="0"/>
        <w:spacing w:line="360" w:lineRule="auto"/>
        <w:ind w:left="119" w:right="5212"/>
      </w:pPr>
      <w:r>
        <w:t xml:space="preserve">Date objectives approved by the Headteacher and the Local Governing Body: </w:t>
      </w:r>
      <w:r w:rsidR="005676CD">
        <w:t>November 202</w:t>
      </w:r>
      <w:r w:rsidR="004E3AA4">
        <w:t>6</w:t>
      </w:r>
    </w:p>
    <w:p w14:paraId="2926F1D4" w14:textId="77777777" w:rsidR="00BA3864" w:rsidRDefault="00BA3864" w:rsidP="006C5A6A">
      <w:pPr>
        <w:pStyle w:val="BodyText"/>
        <w:kinsoku w:val="0"/>
        <w:overflowPunct w:val="0"/>
        <w:spacing w:before="1" w:after="1"/>
      </w:pPr>
    </w:p>
    <w:tbl>
      <w:tblPr>
        <w:tblW w:w="0" w:type="auto"/>
        <w:tblInd w:w="130" w:type="dxa"/>
        <w:tblLayout w:type="fixed"/>
        <w:tblCellMar>
          <w:left w:w="0" w:type="dxa"/>
          <w:right w:w="0" w:type="dxa"/>
        </w:tblCellMar>
        <w:tblLook w:val="0000" w:firstRow="0" w:lastRow="0" w:firstColumn="0" w:lastColumn="0" w:noHBand="0" w:noVBand="0"/>
      </w:tblPr>
      <w:tblGrid>
        <w:gridCol w:w="4106"/>
        <w:gridCol w:w="3828"/>
        <w:gridCol w:w="3118"/>
        <w:gridCol w:w="4253"/>
      </w:tblGrid>
      <w:tr w:rsidR="006C5A6A" w:rsidRPr="009D1868" w14:paraId="35AE0B70" w14:textId="77777777" w:rsidTr="000F5C0E">
        <w:trPr>
          <w:trHeight w:val="805"/>
          <w:tblHeader/>
        </w:trPr>
        <w:tc>
          <w:tcPr>
            <w:tcW w:w="4106" w:type="dxa"/>
            <w:tcBorders>
              <w:top w:val="single" w:sz="4" w:space="0" w:color="000000"/>
              <w:left w:val="single" w:sz="4" w:space="0" w:color="000000"/>
              <w:bottom w:val="single" w:sz="4" w:space="0" w:color="000000"/>
              <w:right w:val="single" w:sz="4" w:space="0" w:color="000000"/>
            </w:tcBorders>
            <w:shd w:val="clear" w:color="auto" w:fill="00B0F0"/>
          </w:tcPr>
          <w:p w14:paraId="1F5A03C3" w14:textId="4F45887A" w:rsidR="006C5A6A" w:rsidRPr="009D1868" w:rsidRDefault="006C5A6A" w:rsidP="00337D52">
            <w:pPr>
              <w:pStyle w:val="TableParagraph"/>
              <w:kinsoku w:val="0"/>
              <w:overflowPunct w:val="0"/>
              <w:spacing w:before="11"/>
              <w:rPr>
                <w:sz w:val="21"/>
                <w:szCs w:val="21"/>
              </w:rPr>
            </w:pPr>
          </w:p>
          <w:p w14:paraId="5B4F1692" w14:textId="77777777" w:rsidR="006C5A6A" w:rsidRPr="009D1868" w:rsidRDefault="006C5A6A" w:rsidP="00337D52">
            <w:pPr>
              <w:pStyle w:val="TableParagraph"/>
              <w:kinsoku w:val="0"/>
              <w:overflowPunct w:val="0"/>
              <w:ind w:left="158"/>
              <w:rPr>
                <w:b/>
                <w:bCs/>
                <w:sz w:val="22"/>
                <w:szCs w:val="22"/>
              </w:rPr>
            </w:pPr>
            <w:r w:rsidRPr="009D1868">
              <w:rPr>
                <w:b/>
                <w:bCs/>
                <w:sz w:val="22"/>
                <w:szCs w:val="22"/>
              </w:rPr>
              <w:t>Equality objectives – specific, measurable</w:t>
            </w:r>
          </w:p>
        </w:tc>
        <w:tc>
          <w:tcPr>
            <w:tcW w:w="3828" w:type="dxa"/>
            <w:tcBorders>
              <w:top w:val="single" w:sz="4" w:space="0" w:color="000000"/>
              <w:left w:val="single" w:sz="4" w:space="0" w:color="000000"/>
              <w:bottom w:val="single" w:sz="4" w:space="0" w:color="000000"/>
              <w:right w:val="single" w:sz="4" w:space="0" w:color="000000"/>
            </w:tcBorders>
            <w:shd w:val="clear" w:color="auto" w:fill="00B0F0"/>
          </w:tcPr>
          <w:p w14:paraId="0421CADD" w14:textId="77777777" w:rsidR="006C5A6A" w:rsidRPr="009D1868" w:rsidRDefault="006C5A6A" w:rsidP="00337D52">
            <w:pPr>
              <w:pStyle w:val="TableParagraph"/>
              <w:kinsoku w:val="0"/>
              <w:overflowPunct w:val="0"/>
              <w:spacing w:before="11"/>
              <w:rPr>
                <w:sz w:val="21"/>
                <w:szCs w:val="21"/>
              </w:rPr>
            </w:pPr>
          </w:p>
          <w:p w14:paraId="1F704260" w14:textId="77777777" w:rsidR="006C5A6A" w:rsidRPr="009D1868" w:rsidRDefault="006C5A6A" w:rsidP="00337D52">
            <w:pPr>
              <w:pStyle w:val="TableParagraph"/>
              <w:kinsoku w:val="0"/>
              <w:overflowPunct w:val="0"/>
              <w:ind w:left="1456" w:right="1448"/>
              <w:jc w:val="center"/>
              <w:rPr>
                <w:b/>
                <w:bCs/>
                <w:sz w:val="22"/>
                <w:szCs w:val="22"/>
              </w:rPr>
            </w:pPr>
            <w:r w:rsidRPr="009D1868">
              <w:rPr>
                <w:b/>
                <w:bCs/>
                <w:sz w:val="22"/>
                <w:szCs w:val="22"/>
              </w:rPr>
              <w:t>Rationale</w:t>
            </w:r>
          </w:p>
        </w:tc>
        <w:tc>
          <w:tcPr>
            <w:tcW w:w="3118" w:type="dxa"/>
            <w:tcBorders>
              <w:top w:val="single" w:sz="4" w:space="0" w:color="000000"/>
              <w:left w:val="single" w:sz="4" w:space="0" w:color="000000"/>
              <w:bottom w:val="single" w:sz="4" w:space="0" w:color="000000"/>
              <w:right w:val="single" w:sz="4" w:space="0" w:color="000000"/>
            </w:tcBorders>
            <w:shd w:val="clear" w:color="auto" w:fill="00B0F0"/>
          </w:tcPr>
          <w:p w14:paraId="30AF184B" w14:textId="77777777" w:rsidR="006C5A6A" w:rsidRPr="009D1868" w:rsidRDefault="006C5A6A" w:rsidP="00337D52">
            <w:pPr>
              <w:pStyle w:val="TableParagraph"/>
              <w:kinsoku w:val="0"/>
              <w:overflowPunct w:val="0"/>
              <w:spacing w:before="11"/>
              <w:rPr>
                <w:sz w:val="21"/>
                <w:szCs w:val="21"/>
              </w:rPr>
            </w:pPr>
          </w:p>
          <w:p w14:paraId="4843D0A9" w14:textId="2AA2A14D" w:rsidR="006C5A6A" w:rsidRPr="009D1868" w:rsidRDefault="00DF7595" w:rsidP="00337D52">
            <w:pPr>
              <w:pStyle w:val="TableParagraph"/>
              <w:kinsoku w:val="0"/>
              <w:overflowPunct w:val="0"/>
              <w:ind w:left="211"/>
              <w:rPr>
                <w:b/>
                <w:bCs/>
                <w:sz w:val="22"/>
                <w:szCs w:val="22"/>
              </w:rPr>
            </w:pPr>
            <w:r>
              <w:rPr>
                <w:b/>
                <w:bCs/>
                <w:sz w:val="22"/>
                <w:szCs w:val="22"/>
              </w:rPr>
              <w:t>Success Measures</w:t>
            </w:r>
          </w:p>
        </w:tc>
        <w:tc>
          <w:tcPr>
            <w:tcW w:w="4253" w:type="dxa"/>
            <w:tcBorders>
              <w:top w:val="single" w:sz="4" w:space="0" w:color="000000"/>
              <w:left w:val="single" w:sz="4" w:space="0" w:color="000000"/>
              <w:bottom w:val="single" w:sz="4" w:space="0" w:color="000000"/>
              <w:right w:val="single" w:sz="4" w:space="0" w:color="000000"/>
            </w:tcBorders>
            <w:shd w:val="clear" w:color="auto" w:fill="00B0F0"/>
          </w:tcPr>
          <w:p w14:paraId="6CA8ADF2" w14:textId="0E465FAF" w:rsidR="006C5A6A" w:rsidRPr="009D1868" w:rsidRDefault="006C5A6A" w:rsidP="00337D52">
            <w:pPr>
              <w:pStyle w:val="TableParagraph"/>
              <w:kinsoku w:val="0"/>
              <w:overflowPunct w:val="0"/>
              <w:spacing w:before="11"/>
              <w:rPr>
                <w:sz w:val="21"/>
                <w:szCs w:val="21"/>
              </w:rPr>
            </w:pPr>
          </w:p>
          <w:p w14:paraId="1E2612DB" w14:textId="77777777" w:rsidR="006C5A6A" w:rsidRPr="009D1868" w:rsidRDefault="006C5A6A" w:rsidP="00337D52">
            <w:pPr>
              <w:pStyle w:val="TableParagraph"/>
              <w:kinsoku w:val="0"/>
              <w:overflowPunct w:val="0"/>
              <w:ind w:left="1269"/>
              <w:rPr>
                <w:b/>
                <w:bCs/>
                <w:sz w:val="22"/>
                <w:szCs w:val="22"/>
              </w:rPr>
            </w:pPr>
            <w:r w:rsidRPr="009D1868">
              <w:rPr>
                <w:b/>
                <w:bCs/>
                <w:sz w:val="22"/>
                <w:szCs w:val="22"/>
              </w:rPr>
              <w:t>Progress over time</w:t>
            </w:r>
          </w:p>
        </w:tc>
      </w:tr>
      <w:tr w:rsidR="006C5A6A" w:rsidRPr="00C70D61" w14:paraId="7C98AB4F" w14:textId="77777777" w:rsidTr="00337D52">
        <w:trPr>
          <w:trHeight w:val="1723"/>
        </w:trPr>
        <w:tc>
          <w:tcPr>
            <w:tcW w:w="4106" w:type="dxa"/>
            <w:tcBorders>
              <w:top w:val="single" w:sz="4" w:space="0" w:color="000000"/>
              <w:left w:val="single" w:sz="4" w:space="0" w:color="000000"/>
              <w:bottom w:val="single" w:sz="4" w:space="0" w:color="000000"/>
              <w:right w:val="single" w:sz="4" w:space="0" w:color="000000"/>
            </w:tcBorders>
          </w:tcPr>
          <w:p w14:paraId="70F9A425" w14:textId="5AC1956D" w:rsidR="006C5A6A" w:rsidRPr="00BA3864" w:rsidRDefault="006C5A6A" w:rsidP="00DF7C4D">
            <w:pPr>
              <w:pStyle w:val="TableParagraph"/>
              <w:kinsoku w:val="0"/>
              <w:overflowPunct w:val="0"/>
              <w:spacing w:after="120"/>
              <w:ind w:left="149" w:right="271"/>
              <w:rPr>
                <w:b/>
                <w:bCs/>
                <w:sz w:val="22"/>
                <w:szCs w:val="22"/>
                <w:u w:val="single"/>
              </w:rPr>
            </w:pPr>
            <w:r w:rsidRPr="00BA3864">
              <w:rPr>
                <w:b/>
                <w:bCs/>
                <w:sz w:val="22"/>
                <w:szCs w:val="22"/>
                <w:u w:val="single"/>
              </w:rPr>
              <w:t>Objective 1:</w:t>
            </w:r>
            <w:r w:rsidR="006F1431" w:rsidRPr="004F2256">
              <w:rPr>
                <w:b/>
                <w:bCs/>
                <w:sz w:val="22"/>
                <w:szCs w:val="22"/>
              </w:rPr>
              <w:t xml:space="preserve"> Improve outcomes for vulnerable groups</w:t>
            </w:r>
          </w:p>
          <w:p w14:paraId="6F56BD9B" w14:textId="25A69A21" w:rsidR="006C5A6A" w:rsidRPr="00BA3864" w:rsidRDefault="008D354C" w:rsidP="00DF7C4D">
            <w:pPr>
              <w:pStyle w:val="TableParagraph"/>
              <w:kinsoku w:val="0"/>
              <w:overflowPunct w:val="0"/>
              <w:spacing w:after="120"/>
              <w:ind w:left="149" w:right="271"/>
              <w:rPr>
                <w:i/>
                <w:iCs/>
                <w:sz w:val="22"/>
                <w:szCs w:val="22"/>
              </w:rPr>
            </w:pPr>
            <w:r w:rsidRPr="008D354C">
              <w:rPr>
                <w:sz w:val="22"/>
                <w:szCs w:val="22"/>
              </w:rPr>
              <w:t>To reduce attainment gaps between disadvantaged pupils, pupils with SEND and their peers through high-quality teaching, adaptive practice and targeted support.</w:t>
            </w:r>
          </w:p>
        </w:tc>
        <w:tc>
          <w:tcPr>
            <w:tcW w:w="3828" w:type="dxa"/>
            <w:tcBorders>
              <w:top w:val="single" w:sz="4" w:space="0" w:color="000000"/>
              <w:left w:val="single" w:sz="4" w:space="0" w:color="000000"/>
              <w:bottom w:val="single" w:sz="4" w:space="0" w:color="000000"/>
              <w:right w:val="single" w:sz="4" w:space="0" w:color="000000"/>
            </w:tcBorders>
          </w:tcPr>
          <w:p w14:paraId="66AD1D9C" w14:textId="7CFF0BC6" w:rsidR="006C5A6A" w:rsidRPr="00BA3864" w:rsidRDefault="00CA013D" w:rsidP="00DF7C4D">
            <w:pPr>
              <w:pStyle w:val="TableParagraph"/>
              <w:kinsoku w:val="0"/>
              <w:overflowPunct w:val="0"/>
              <w:spacing w:after="120"/>
              <w:ind w:left="151" w:right="245"/>
              <w:rPr>
                <w:sz w:val="22"/>
                <w:szCs w:val="22"/>
              </w:rPr>
            </w:pPr>
            <w:r w:rsidRPr="00CA013D">
              <w:rPr>
                <w:sz w:val="22"/>
                <w:szCs w:val="22"/>
              </w:rPr>
              <w:t>Internal and national assessment information show that some vulnerable groups achieve less well than their peers, particularly within the Early Years Foundation Stage and in some areas of literacy</w:t>
            </w:r>
            <w:r w:rsidR="00D23124">
              <w:rPr>
                <w:sz w:val="22"/>
                <w:szCs w:val="22"/>
              </w:rPr>
              <w:t>.</w:t>
            </w:r>
            <w:r w:rsidR="00D23124" w:rsidRPr="00D23124">
              <w:rPr>
                <w:color w:val="C00000"/>
                <w:sz w:val="22"/>
                <w:szCs w:val="22"/>
              </w:rPr>
              <w:t>*</w:t>
            </w:r>
          </w:p>
        </w:tc>
        <w:tc>
          <w:tcPr>
            <w:tcW w:w="3118" w:type="dxa"/>
            <w:tcBorders>
              <w:top w:val="single" w:sz="4" w:space="0" w:color="000000"/>
              <w:left w:val="single" w:sz="4" w:space="0" w:color="000000"/>
              <w:bottom w:val="single" w:sz="4" w:space="0" w:color="000000"/>
              <w:right w:val="single" w:sz="4" w:space="0" w:color="000000"/>
            </w:tcBorders>
          </w:tcPr>
          <w:p w14:paraId="6774C3D5" w14:textId="4E6FFDE1" w:rsidR="00DF7595" w:rsidRPr="00DF7595" w:rsidRDefault="00DF7595" w:rsidP="00DF7C4D">
            <w:pPr>
              <w:pStyle w:val="TableParagraph"/>
              <w:kinsoku w:val="0"/>
              <w:overflowPunct w:val="0"/>
              <w:spacing w:after="120"/>
              <w:ind w:left="152" w:right="130"/>
              <w:rPr>
                <w:sz w:val="22"/>
                <w:szCs w:val="22"/>
              </w:rPr>
            </w:pPr>
            <w:r w:rsidRPr="00DF7595">
              <w:rPr>
                <w:sz w:val="22"/>
                <w:szCs w:val="22"/>
              </w:rPr>
              <w:t>The attainment gap between disadvantaged pupils and their peers will reduce</w:t>
            </w:r>
            <w:r w:rsidR="00303179">
              <w:rPr>
                <w:sz w:val="22"/>
                <w:szCs w:val="22"/>
              </w:rPr>
              <w:t xml:space="preserve"> over time</w:t>
            </w:r>
            <w:r w:rsidRPr="00DF7595">
              <w:rPr>
                <w:sz w:val="22"/>
                <w:szCs w:val="22"/>
              </w:rPr>
              <w:t>.</w:t>
            </w:r>
          </w:p>
          <w:p w14:paraId="0589B014" w14:textId="77777777" w:rsidR="00DF7595" w:rsidRPr="00DF7595" w:rsidRDefault="00DF7595" w:rsidP="00DF7C4D">
            <w:pPr>
              <w:pStyle w:val="TableParagraph"/>
              <w:kinsoku w:val="0"/>
              <w:overflowPunct w:val="0"/>
              <w:spacing w:after="120"/>
              <w:ind w:left="152" w:right="130"/>
              <w:rPr>
                <w:sz w:val="22"/>
                <w:szCs w:val="22"/>
              </w:rPr>
            </w:pPr>
            <w:r w:rsidRPr="00DF7595">
              <w:rPr>
                <w:sz w:val="22"/>
                <w:szCs w:val="22"/>
              </w:rPr>
              <w:t>SEND pupils will demonstrate improved progress and attainment from their individual starting points.</w:t>
            </w:r>
          </w:p>
          <w:p w14:paraId="673D1846" w14:textId="13E129DF" w:rsidR="006C5A6A" w:rsidRPr="00BA3864" w:rsidRDefault="00DF7595" w:rsidP="00DF7C4D">
            <w:pPr>
              <w:pStyle w:val="TableParagraph"/>
              <w:kinsoku w:val="0"/>
              <w:overflowPunct w:val="0"/>
              <w:spacing w:after="120"/>
              <w:ind w:left="152" w:right="130"/>
              <w:rPr>
                <w:i/>
                <w:iCs/>
                <w:sz w:val="22"/>
                <w:szCs w:val="22"/>
              </w:rPr>
            </w:pPr>
            <w:r w:rsidRPr="00DF7595">
              <w:rPr>
                <w:sz w:val="22"/>
                <w:szCs w:val="22"/>
              </w:rPr>
              <w:t>School assessment information will demonstrate improved outcomes in reading, writing and mathematics across vulnerable groups.</w:t>
            </w:r>
          </w:p>
        </w:tc>
        <w:tc>
          <w:tcPr>
            <w:tcW w:w="4253" w:type="dxa"/>
            <w:tcBorders>
              <w:top w:val="single" w:sz="4" w:space="0" w:color="000000"/>
              <w:left w:val="single" w:sz="4" w:space="0" w:color="000000"/>
              <w:bottom w:val="single" w:sz="4" w:space="0" w:color="000000"/>
              <w:right w:val="single" w:sz="4" w:space="0" w:color="000000"/>
            </w:tcBorders>
          </w:tcPr>
          <w:p w14:paraId="15A7E3FA" w14:textId="72599607" w:rsidR="006329ED" w:rsidRPr="006329ED" w:rsidRDefault="006329ED" w:rsidP="00DF7C4D">
            <w:pPr>
              <w:widowControl/>
              <w:autoSpaceDE/>
              <w:autoSpaceDN/>
              <w:adjustRightInd/>
              <w:spacing w:after="120"/>
              <w:ind w:left="293"/>
              <w:rPr>
                <w:rFonts w:asciiTheme="minorHAnsi" w:hAnsiTheme="minorHAnsi" w:cstheme="minorHAnsi"/>
                <w:b/>
                <w:bCs/>
                <w:u w:val="single"/>
              </w:rPr>
            </w:pPr>
            <w:r w:rsidRPr="006329ED">
              <w:rPr>
                <w:rFonts w:asciiTheme="minorHAnsi" w:hAnsiTheme="minorHAnsi" w:cstheme="minorHAnsi"/>
                <w:b/>
                <w:bCs/>
                <w:u w:val="single"/>
              </w:rPr>
              <w:t>Progress Review 2025–2026</w:t>
            </w:r>
            <w:r w:rsidR="00D23124" w:rsidRPr="00D23124">
              <w:rPr>
                <w:rFonts w:asciiTheme="minorHAnsi" w:hAnsiTheme="minorHAnsi" w:cstheme="minorHAnsi"/>
                <w:b/>
                <w:bCs/>
                <w:color w:val="C00000"/>
              </w:rPr>
              <w:t xml:space="preserve"> *</w:t>
            </w:r>
          </w:p>
          <w:p w14:paraId="3F600D7F" w14:textId="77777777" w:rsidR="006329ED"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Vulnerable groups were monitored through termly pupil progress meetings, adaptive teaching and targeted interventions.</w:t>
            </w:r>
          </w:p>
          <w:p w14:paraId="62F29B80" w14:textId="77777777" w:rsidR="006329ED"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EYFS outcomes were strong overall, with 82% achieving a Good Level of Development. Outcomes for disadvantaged pupils were 50% (2/4 pupils) and SEND pupils 33% (1/3 pupils). These cohorts are very small and percentages should therefore be interpreted with caution.</w:t>
            </w:r>
          </w:p>
          <w:p w14:paraId="10445997" w14:textId="77777777" w:rsidR="006329ED"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The Year 1 Phonics Screening Check was a significant strength, with 97% of pupils meeting the expected standard. Outcomes for vulnerable groups were positive, with 100% of pupil premium pupils (4/4) and 66% of SEND pupils (2/3) meeting the standard.</w:t>
            </w:r>
          </w:p>
          <w:p w14:paraId="292DB266" w14:textId="77777777" w:rsidR="006329ED"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Key Stage 2 outcomes were strong, with 87% achieving the expected standard in reading, writing and mathematics combined. 100% of disadvantaged pupils (2/2) achieved the expected standard and 70% of SEND pupils achieved the combined measure.</w:t>
            </w:r>
          </w:p>
          <w:p w14:paraId="5921C3E7" w14:textId="77777777" w:rsidR="006329ED"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 xml:space="preserve">Attendance remained strong, with overall attendance at 96% and persistent absence </w:t>
            </w:r>
            <w:r w:rsidRPr="006329ED">
              <w:rPr>
                <w:rFonts w:asciiTheme="minorHAnsi" w:hAnsiTheme="minorHAnsi" w:cstheme="minorHAnsi"/>
              </w:rPr>
              <w:lastRenderedPageBreak/>
              <w:t>at 10.2%, both comparing favourably with national figures. Attendance for disadvantaged and SEND pupils remained a key focus throughout the year.</w:t>
            </w:r>
          </w:p>
          <w:p w14:paraId="2DD918C9" w14:textId="7F654E61" w:rsidR="00EA3B2C" w:rsidRPr="006329ED" w:rsidRDefault="006329ED" w:rsidP="00DF7C4D">
            <w:pPr>
              <w:widowControl/>
              <w:autoSpaceDE/>
              <w:autoSpaceDN/>
              <w:adjustRightInd/>
              <w:spacing w:after="120"/>
              <w:ind w:left="293"/>
              <w:rPr>
                <w:rFonts w:asciiTheme="minorHAnsi" w:hAnsiTheme="minorHAnsi" w:cstheme="minorHAnsi"/>
              </w:rPr>
            </w:pPr>
            <w:r w:rsidRPr="006329ED">
              <w:rPr>
                <w:rFonts w:asciiTheme="minorHAnsi" w:hAnsiTheme="minorHAnsi" w:cstheme="minorHAnsi"/>
              </w:rPr>
              <w:t>Overall, vulnerable pupils made positive progress from their starting points. While attainment gaps remain in some cohorts, leaders recognise that small group sizes can significantly affect percentage outcomes and therefore evaluate success through both attainment data and individual pupil progress.</w:t>
            </w:r>
          </w:p>
        </w:tc>
      </w:tr>
      <w:tr w:rsidR="000F5C0E" w:rsidRPr="009D1868" w14:paraId="4B8F5C62" w14:textId="77777777" w:rsidTr="00526532">
        <w:trPr>
          <w:trHeight w:val="1612"/>
        </w:trPr>
        <w:tc>
          <w:tcPr>
            <w:tcW w:w="410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EEEEEA" w14:textId="77777777" w:rsidR="00BA3864" w:rsidRDefault="00BA3864" w:rsidP="00245107">
            <w:pPr>
              <w:pStyle w:val="TableParagraph"/>
              <w:kinsoku w:val="0"/>
              <w:overflowPunct w:val="0"/>
              <w:spacing w:after="120"/>
              <w:ind w:left="107" w:right="254"/>
              <w:rPr>
                <w:b/>
                <w:bCs/>
                <w:sz w:val="22"/>
                <w:szCs w:val="22"/>
                <w:u w:val="single"/>
              </w:rPr>
            </w:pPr>
          </w:p>
          <w:p w14:paraId="48189AC9" w14:textId="18315169" w:rsidR="000F5C0E" w:rsidRPr="004F2256" w:rsidRDefault="000F5C0E" w:rsidP="00657026">
            <w:pPr>
              <w:pStyle w:val="TableParagraph"/>
              <w:kinsoku w:val="0"/>
              <w:overflowPunct w:val="0"/>
              <w:spacing w:after="120"/>
              <w:ind w:left="107" w:right="254"/>
              <w:rPr>
                <w:b/>
                <w:bCs/>
                <w:sz w:val="22"/>
                <w:szCs w:val="22"/>
              </w:rPr>
            </w:pPr>
            <w:r w:rsidRPr="00BA3864">
              <w:rPr>
                <w:b/>
                <w:bCs/>
                <w:sz w:val="22"/>
                <w:szCs w:val="22"/>
                <w:u w:val="single"/>
              </w:rPr>
              <w:t>Objective 2</w:t>
            </w:r>
            <w:r w:rsidR="00657026" w:rsidRPr="004F2256">
              <w:rPr>
                <w:b/>
                <w:bCs/>
                <w:sz w:val="22"/>
                <w:szCs w:val="22"/>
              </w:rPr>
              <w:t xml:space="preserve">: </w:t>
            </w:r>
            <w:r w:rsidR="00A17838" w:rsidRPr="004F2256">
              <w:rPr>
                <w:b/>
                <w:bCs/>
                <w:sz w:val="22"/>
                <w:szCs w:val="22"/>
              </w:rPr>
              <w:t>Improve attendance and engagement for vulnerable pupils</w:t>
            </w:r>
          </w:p>
          <w:p w14:paraId="296580B8" w14:textId="18C6F78B" w:rsidR="00657026" w:rsidRPr="00BA3864" w:rsidRDefault="00657026" w:rsidP="00245107">
            <w:pPr>
              <w:pStyle w:val="TableParagraph"/>
              <w:kinsoku w:val="0"/>
              <w:overflowPunct w:val="0"/>
              <w:spacing w:after="120"/>
              <w:ind w:right="271"/>
              <w:rPr>
                <w:sz w:val="22"/>
                <w:szCs w:val="22"/>
              </w:rPr>
            </w:pPr>
            <w:r w:rsidRPr="00657026">
              <w:rPr>
                <w:sz w:val="22"/>
                <w:szCs w:val="22"/>
              </w:rPr>
              <w:t>To ensure that all pupils, particularly disadvantaged pupils and pupils with SEND, attend regularly and engage fully in school life so that they can achieve their best possible outcomes.</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52178A" w14:textId="77777777" w:rsidR="00BA3864" w:rsidRDefault="00BA3864" w:rsidP="000F6993">
            <w:pPr>
              <w:pStyle w:val="TableParagraph"/>
              <w:kinsoku w:val="0"/>
              <w:overflowPunct w:val="0"/>
              <w:spacing w:after="120"/>
              <w:rPr>
                <w:sz w:val="22"/>
                <w:szCs w:val="22"/>
              </w:rPr>
            </w:pPr>
          </w:p>
          <w:p w14:paraId="7DB8A399" w14:textId="44FE38A0" w:rsidR="000F5C0E" w:rsidRPr="00BA3864" w:rsidRDefault="000F6993" w:rsidP="000F6993">
            <w:pPr>
              <w:pStyle w:val="TableParagraph"/>
              <w:kinsoku w:val="0"/>
              <w:overflowPunct w:val="0"/>
              <w:spacing w:after="120"/>
              <w:rPr>
                <w:sz w:val="22"/>
                <w:szCs w:val="22"/>
              </w:rPr>
            </w:pPr>
            <w:r w:rsidRPr="000F6993">
              <w:rPr>
                <w:sz w:val="22"/>
                <w:szCs w:val="22"/>
              </w:rPr>
              <w:t>Strong attendance and engagement are essential for pupils' achievement, wellbeing and inclusion. Although overall attendance at Five Spires Academy remains above national averages, leaders are committed to reducing persistent absence and ensuring that disadvantaged pupils and pupils with SEND can fully access learning, enrichment opportunities and wider school experiences.</w:t>
            </w:r>
          </w:p>
          <w:p w14:paraId="2F691799" w14:textId="77777777" w:rsidR="000F5C0E" w:rsidRPr="00BA3864" w:rsidRDefault="000F5C0E" w:rsidP="00245107">
            <w:pPr>
              <w:pStyle w:val="TableParagraph"/>
              <w:kinsoku w:val="0"/>
              <w:overflowPunct w:val="0"/>
              <w:spacing w:after="120"/>
              <w:rPr>
                <w:i/>
                <w:iCs/>
                <w:sz w:val="22"/>
                <w:szCs w:val="22"/>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BB1B86" w14:textId="77777777" w:rsidR="000F5C0E" w:rsidRPr="00BA3864" w:rsidRDefault="000F5C0E" w:rsidP="00245107">
            <w:pPr>
              <w:pStyle w:val="TableParagraph"/>
              <w:kinsoku w:val="0"/>
              <w:overflowPunct w:val="0"/>
              <w:spacing w:after="120"/>
              <w:rPr>
                <w:sz w:val="22"/>
                <w:szCs w:val="22"/>
              </w:rPr>
            </w:pPr>
            <w:r w:rsidRPr="00BA3864">
              <w:rPr>
                <w:sz w:val="22"/>
                <w:szCs w:val="22"/>
              </w:rPr>
              <w:t xml:space="preserve"> </w:t>
            </w:r>
          </w:p>
          <w:p w14:paraId="09D8F89B" w14:textId="77777777" w:rsidR="00DF7C4D" w:rsidRPr="00DF7C4D" w:rsidRDefault="000F5C0E" w:rsidP="00DF7C4D">
            <w:pPr>
              <w:pStyle w:val="TableParagraph"/>
              <w:kinsoku w:val="0"/>
              <w:overflowPunct w:val="0"/>
              <w:spacing w:after="120"/>
              <w:rPr>
                <w:sz w:val="22"/>
                <w:szCs w:val="22"/>
              </w:rPr>
            </w:pPr>
            <w:r w:rsidRPr="00BA3864">
              <w:rPr>
                <w:sz w:val="22"/>
                <w:szCs w:val="22"/>
              </w:rPr>
              <w:t xml:space="preserve"> </w:t>
            </w:r>
            <w:r w:rsidR="00DF7C4D" w:rsidRPr="00DF7C4D">
              <w:rPr>
                <w:sz w:val="22"/>
                <w:szCs w:val="22"/>
              </w:rPr>
              <w:t>Whole-school attendance remains above national figures.</w:t>
            </w:r>
          </w:p>
          <w:p w14:paraId="63C618E4" w14:textId="77777777" w:rsidR="00DF7C4D" w:rsidRPr="00DF7C4D" w:rsidRDefault="00DF7C4D" w:rsidP="00DF7C4D">
            <w:pPr>
              <w:pStyle w:val="TableParagraph"/>
              <w:kinsoku w:val="0"/>
              <w:overflowPunct w:val="0"/>
              <w:spacing w:after="120"/>
              <w:rPr>
                <w:sz w:val="22"/>
                <w:szCs w:val="22"/>
              </w:rPr>
            </w:pPr>
            <w:r w:rsidRPr="00DF7C4D">
              <w:rPr>
                <w:sz w:val="22"/>
                <w:szCs w:val="22"/>
              </w:rPr>
              <w:t>Persistent absence remains below national figures.</w:t>
            </w:r>
          </w:p>
          <w:p w14:paraId="41B5D7B5" w14:textId="77777777" w:rsidR="00DF7C4D" w:rsidRPr="00DF7C4D" w:rsidRDefault="00DF7C4D" w:rsidP="00DF7C4D">
            <w:pPr>
              <w:pStyle w:val="TableParagraph"/>
              <w:kinsoku w:val="0"/>
              <w:overflowPunct w:val="0"/>
              <w:spacing w:after="120"/>
              <w:rPr>
                <w:sz w:val="22"/>
                <w:szCs w:val="22"/>
              </w:rPr>
            </w:pPr>
            <w:r w:rsidRPr="00DF7C4D">
              <w:rPr>
                <w:sz w:val="22"/>
                <w:szCs w:val="22"/>
              </w:rPr>
              <w:t>Attendance gaps between vulnerable groups and their peers are minimised.</w:t>
            </w:r>
          </w:p>
          <w:p w14:paraId="78211317" w14:textId="77777777" w:rsidR="00DF7C4D" w:rsidRPr="00DF7C4D" w:rsidRDefault="00DF7C4D" w:rsidP="00DF7C4D">
            <w:pPr>
              <w:pStyle w:val="TableParagraph"/>
              <w:kinsoku w:val="0"/>
              <w:overflowPunct w:val="0"/>
              <w:spacing w:after="120"/>
              <w:rPr>
                <w:sz w:val="22"/>
                <w:szCs w:val="22"/>
              </w:rPr>
            </w:pPr>
            <w:r w:rsidRPr="00DF7C4D">
              <w:rPr>
                <w:sz w:val="22"/>
                <w:szCs w:val="22"/>
              </w:rPr>
              <w:t>Disadvantaged pupils and pupils with SEND regularly access the full curriculum, educational visits, clubs and enrichment opportunities.</w:t>
            </w:r>
          </w:p>
          <w:p w14:paraId="32FCA531" w14:textId="27E65F7B" w:rsidR="000F5C0E" w:rsidRPr="00BA3864" w:rsidRDefault="00DF7C4D" w:rsidP="00DF7C4D">
            <w:pPr>
              <w:pStyle w:val="TableParagraph"/>
              <w:kinsoku w:val="0"/>
              <w:overflowPunct w:val="0"/>
              <w:spacing w:after="120"/>
              <w:rPr>
                <w:i/>
                <w:iCs/>
                <w:sz w:val="22"/>
                <w:szCs w:val="22"/>
              </w:rPr>
            </w:pPr>
            <w:r w:rsidRPr="00DF7C4D">
              <w:rPr>
                <w:sz w:val="22"/>
                <w:szCs w:val="22"/>
              </w:rPr>
              <w:t>Pupil voice demonstrates that all pupils feel included, valued and able to participate fully in school life.</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5A7BDA" w14:textId="61CD5CDF" w:rsidR="00DF7C4D" w:rsidRPr="00D23124" w:rsidRDefault="00DF7C4D" w:rsidP="00DF7C4D">
            <w:pPr>
              <w:pStyle w:val="TableParagraph"/>
              <w:kinsoku w:val="0"/>
              <w:overflowPunct w:val="0"/>
              <w:spacing w:after="120"/>
              <w:ind w:left="293"/>
              <w:rPr>
                <w:rFonts w:eastAsia="MS Gothic"/>
                <w:b/>
                <w:bCs/>
                <w:sz w:val="22"/>
                <w:szCs w:val="22"/>
                <w:lang w:val="en-US" w:eastAsia="en-US"/>
              </w:rPr>
            </w:pPr>
            <w:r w:rsidRPr="00DF7C4D">
              <w:rPr>
                <w:rFonts w:eastAsia="MS Gothic"/>
                <w:b/>
                <w:bCs/>
                <w:sz w:val="22"/>
                <w:szCs w:val="22"/>
                <w:u w:val="single"/>
                <w:lang w:val="en-US" w:eastAsia="en-US"/>
              </w:rPr>
              <w:t>Progress Review 2025–2026</w:t>
            </w:r>
            <w:r w:rsidR="00D23124" w:rsidRPr="00D23124">
              <w:rPr>
                <w:rFonts w:eastAsia="MS Gothic"/>
                <w:b/>
                <w:bCs/>
                <w:color w:val="C00000"/>
                <w:sz w:val="22"/>
                <w:szCs w:val="22"/>
                <w:lang w:val="en-US" w:eastAsia="en-US"/>
              </w:rPr>
              <w:t xml:space="preserve"> *</w:t>
            </w:r>
          </w:p>
          <w:p w14:paraId="1F4E62CB" w14:textId="77777777" w:rsidR="00DF7C4D" w:rsidRPr="00DF7C4D" w:rsidRDefault="00DF7C4D" w:rsidP="00DF7C4D">
            <w:pPr>
              <w:pStyle w:val="TableParagraph"/>
              <w:kinsoku w:val="0"/>
              <w:overflowPunct w:val="0"/>
              <w:spacing w:after="120"/>
              <w:ind w:left="293"/>
              <w:rPr>
                <w:rFonts w:eastAsia="MS Gothic"/>
                <w:sz w:val="22"/>
                <w:szCs w:val="22"/>
                <w:lang w:val="en-US" w:eastAsia="en-US"/>
              </w:rPr>
            </w:pPr>
            <w:r w:rsidRPr="00DF7C4D">
              <w:rPr>
                <w:rFonts w:eastAsia="MS Gothic"/>
                <w:sz w:val="22"/>
                <w:szCs w:val="22"/>
                <w:lang w:val="en-US" w:eastAsia="en-US"/>
              </w:rPr>
              <w:t>Overall attendance remained strong at 96%, exceeding the most recent national figure of 94%.</w:t>
            </w:r>
          </w:p>
          <w:p w14:paraId="1D30BE52" w14:textId="77777777" w:rsidR="00DF7C4D" w:rsidRPr="00DF7C4D" w:rsidRDefault="00DF7C4D" w:rsidP="00DF7C4D">
            <w:pPr>
              <w:pStyle w:val="TableParagraph"/>
              <w:kinsoku w:val="0"/>
              <w:overflowPunct w:val="0"/>
              <w:spacing w:after="120"/>
              <w:ind w:left="293"/>
              <w:rPr>
                <w:rFonts w:eastAsia="MS Gothic"/>
                <w:sz w:val="22"/>
                <w:szCs w:val="22"/>
                <w:lang w:val="en-US" w:eastAsia="en-US"/>
              </w:rPr>
            </w:pPr>
            <w:r w:rsidRPr="00DF7C4D">
              <w:rPr>
                <w:rFonts w:eastAsia="MS Gothic"/>
                <w:sz w:val="22"/>
                <w:szCs w:val="22"/>
                <w:lang w:val="en-US" w:eastAsia="en-US"/>
              </w:rPr>
              <w:t>Persistent absence was 10.2%, remaining significantly below the national figure of 17.3%.</w:t>
            </w:r>
          </w:p>
          <w:p w14:paraId="72020895" w14:textId="77777777" w:rsidR="00DF7C4D" w:rsidRPr="00DF7C4D" w:rsidRDefault="00DF7C4D" w:rsidP="00DF7C4D">
            <w:pPr>
              <w:pStyle w:val="TableParagraph"/>
              <w:kinsoku w:val="0"/>
              <w:overflowPunct w:val="0"/>
              <w:spacing w:after="120"/>
              <w:ind w:left="293"/>
              <w:rPr>
                <w:rFonts w:eastAsia="MS Gothic"/>
                <w:sz w:val="22"/>
                <w:szCs w:val="22"/>
                <w:lang w:val="en-US" w:eastAsia="en-US"/>
              </w:rPr>
            </w:pPr>
            <w:r w:rsidRPr="00DF7C4D">
              <w:rPr>
                <w:rFonts w:eastAsia="MS Gothic"/>
                <w:sz w:val="22"/>
                <w:szCs w:val="22"/>
                <w:lang w:val="en-US" w:eastAsia="en-US"/>
              </w:rPr>
              <w:t>Leaders maintained robust attendance monitoring, regular attendance meetings and effective partnership work with families and external agencies.</w:t>
            </w:r>
          </w:p>
          <w:p w14:paraId="53103031" w14:textId="77777777" w:rsidR="00DF7C4D" w:rsidRPr="00DF7C4D" w:rsidRDefault="00DF7C4D" w:rsidP="00DF7C4D">
            <w:pPr>
              <w:pStyle w:val="TableParagraph"/>
              <w:kinsoku w:val="0"/>
              <w:overflowPunct w:val="0"/>
              <w:spacing w:after="120"/>
              <w:ind w:left="293"/>
              <w:rPr>
                <w:rFonts w:eastAsia="MS Gothic"/>
                <w:sz w:val="22"/>
                <w:szCs w:val="22"/>
                <w:lang w:val="en-US" w:eastAsia="en-US"/>
              </w:rPr>
            </w:pPr>
            <w:r w:rsidRPr="00DF7C4D">
              <w:rPr>
                <w:rFonts w:eastAsia="MS Gothic"/>
                <w:sz w:val="22"/>
                <w:szCs w:val="22"/>
                <w:lang w:val="en-US" w:eastAsia="en-US"/>
              </w:rPr>
              <w:t>Attendance for disadvantaged pupils and pupils with SEND remained a priority throughout the year, helping to secure regular access to learning and wider school opportunities.</w:t>
            </w:r>
          </w:p>
          <w:p w14:paraId="646681D3" w14:textId="58F412C9" w:rsidR="000F5C0E" w:rsidRPr="00D23124" w:rsidRDefault="00DF7C4D" w:rsidP="00D23124">
            <w:pPr>
              <w:pStyle w:val="TableParagraph"/>
              <w:kinsoku w:val="0"/>
              <w:overflowPunct w:val="0"/>
              <w:spacing w:after="120"/>
              <w:ind w:left="293"/>
              <w:rPr>
                <w:rFonts w:eastAsia="MS Gothic"/>
                <w:sz w:val="22"/>
                <w:szCs w:val="22"/>
                <w:lang w:val="en-US" w:eastAsia="en-US"/>
              </w:rPr>
            </w:pPr>
            <w:r w:rsidRPr="00DF7C4D">
              <w:rPr>
                <w:rFonts w:eastAsia="MS Gothic"/>
                <w:sz w:val="22"/>
                <w:szCs w:val="22"/>
                <w:lang w:val="en-US" w:eastAsia="en-US"/>
              </w:rPr>
              <w:t>Vulnerable pupils continued to participate fully in school life, supporting positive outcomes, inclusion and wellbeing.</w:t>
            </w:r>
          </w:p>
        </w:tc>
      </w:tr>
      <w:tr w:rsidR="000F5C0E" w:rsidRPr="009D1868" w14:paraId="084DAEDF" w14:textId="77777777" w:rsidTr="00ED4EEC">
        <w:trPr>
          <w:trHeight w:val="1612"/>
        </w:trPr>
        <w:tc>
          <w:tcPr>
            <w:tcW w:w="4106" w:type="dxa"/>
            <w:tcBorders>
              <w:top w:val="single" w:sz="4" w:space="0" w:color="000000"/>
              <w:left w:val="single" w:sz="4" w:space="0" w:color="000000"/>
              <w:bottom w:val="single" w:sz="4" w:space="0" w:color="000000"/>
              <w:right w:val="single" w:sz="4" w:space="0" w:color="000000"/>
            </w:tcBorders>
          </w:tcPr>
          <w:p w14:paraId="61DFD77B" w14:textId="77777777" w:rsidR="00917525" w:rsidRPr="004F2256" w:rsidRDefault="00B42633" w:rsidP="00394336">
            <w:pPr>
              <w:widowControl/>
              <w:autoSpaceDE/>
              <w:autoSpaceDN/>
              <w:adjustRightInd/>
              <w:spacing w:line="300" w:lineRule="atLeast"/>
              <w:ind w:left="149"/>
              <w:rPr>
                <w:rFonts w:asciiTheme="minorHAnsi" w:hAnsiTheme="minorHAnsi" w:cstheme="minorHAnsi"/>
              </w:rPr>
            </w:pPr>
            <w:r w:rsidRPr="00ED33D7">
              <w:rPr>
                <w:rFonts w:asciiTheme="minorHAnsi" w:hAnsiTheme="minorHAnsi" w:cstheme="minorHAnsi"/>
                <w:b/>
                <w:bCs/>
                <w:u w:val="single"/>
              </w:rPr>
              <w:lastRenderedPageBreak/>
              <w:t xml:space="preserve">Objective 3 – </w:t>
            </w:r>
            <w:r w:rsidR="00917525" w:rsidRPr="004F2256">
              <w:rPr>
                <w:rFonts w:asciiTheme="minorHAnsi" w:hAnsiTheme="minorHAnsi" w:cstheme="minorHAnsi"/>
                <w:b/>
                <w:bCs/>
              </w:rPr>
              <w:t>To foster a culture of inclusion, respect and belonging by developing pupils' understanding of diversity, equality and protected characteristics through the curriculum and wider school life.</w:t>
            </w:r>
          </w:p>
          <w:p w14:paraId="77710C48" w14:textId="635A6B8A" w:rsidR="00B42633" w:rsidRPr="00B42633" w:rsidRDefault="00B42633" w:rsidP="00394336">
            <w:pPr>
              <w:widowControl/>
              <w:autoSpaceDE/>
              <w:autoSpaceDN/>
              <w:adjustRightInd/>
              <w:spacing w:after="120" w:line="420" w:lineRule="atLeast"/>
              <w:ind w:left="149"/>
              <w:outlineLvl w:val="2"/>
              <w:rPr>
                <w:b/>
                <w:bCs/>
                <w:u w:val="single"/>
              </w:rPr>
            </w:pPr>
          </w:p>
          <w:p w14:paraId="1C4C3284" w14:textId="5D013C42" w:rsidR="000F5C0E" w:rsidRPr="00BA3864" w:rsidRDefault="000F5C0E" w:rsidP="00394336">
            <w:pPr>
              <w:widowControl/>
              <w:autoSpaceDE/>
              <w:autoSpaceDN/>
              <w:adjustRightInd/>
              <w:spacing w:after="120"/>
              <w:ind w:left="149"/>
            </w:pPr>
          </w:p>
        </w:tc>
        <w:tc>
          <w:tcPr>
            <w:tcW w:w="3828" w:type="dxa"/>
            <w:tcBorders>
              <w:top w:val="single" w:sz="4" w:space="0" w:color="000000"/>
              <w:left w:val="single" w:sz="4" w:space="0" w:color="000000"/>
              <w:bottom w:val="single" w:sz="4" w:space="0" w:color="000000"/>
              <w:right w:val="single" w:sz="4" w:space="0" w:color="000000"/>
            </w:tcBorders>
          </w:tcPr>
          <w:p w14:paraId="1ED75F97" w14:textId="635BC6E4" w:rsidR="000F5C0E" w:rsidRPr="006B2D17" w:rsidRDefault="00394336" w:rsidP="00394336">
            <w:pPr>
              <w:widowControl/>
              <w:tabs>
                <w:tab w:val="num" w:pos="720"/>
              </w:tabs>
              <w:autoSpaceDE/>
              <w:autoSpaceDN/>
              <w:adjustRightInd/>
              <w:spacing w:after="120"/>
              <w:ind w:left="292"/>
            </w:pPr>
            <w:r w:rsidRPr="00394336">
              <w:t>Five Spires Academy is committed to ensuring that all pupils feel valued, represented and included. Through a broad and inclusive curriculum, meaningful community engagement and the promotion of British Values, pupils develop the knowledge, understanding and attitudes needed to thrive in modern Britain.</w:t>
            </w:r>
          </w:p>
        </w:tc>
        <w:tc>
          <w:tcPr>
            <w:tcW w:w="3118" w:type="dxa"/>
            <w:tcBorders>
              <w:top w:val="single" w:sz="4" w:space="0" w:color="000000"/>
              <w:left w:val="single" w:sz="4" w:space="0" w:color="000000"/>
              <w:bottom w:val="single" w:sz="4" w:space="0" w:color="000000"/>
              <w:right w:val="single" w:sz="4" w:space="0" w:color="000000"/>
            </w:tcBorders>
          </w:tcPr>
          <w:p w14:paraId="629187D9" w14:textId="507D5913" w:rsidR="00394336" w:rsidRPr="00394336" w:rsidRDefault="00394336" w:rsidP="00394336">
            <w:pPr>
              <w:pStyle w:val="TableParagraph"/>
              <w:kinsoku w:val="0"/>
              <w:overflowPunct w:val="0"/>
              <w:spacing w:after="120"/>
              <w:ind w:left="152"/>
              <w:rPr>
                <w:sz w:val="22"/>
                <w:szCs w:val="22"/>
              </w:rPr>
            </w:pPr>
            <w:r w:rsidRPr="00394336">
              <w:rPr>
                <w:sz w:val="22"/>
                <w:szCs w:val="22"/>
              </w:rPr>
              <w:t>Pupils demonstrate an age-appropriate understanding of equality, diversity and protected characteristics.</w:t>
            </w:r>
          </w:p>
          <w:p w14:paraId="04156DA5" w14:textId="77777777" w:rsidR="00394336" w:rsidRPr="00394336" w:rsidRDefault="00394336" w:rsidP="00394336">
            <w:pPr>
              <w:pStyle w:val="TableParagraph"/>
              <w:kinsoku w:val="0"/>
              <w:overflowPunct w:val="0"/>
              <w:spacing w:after="120"/>
              <w:ind w:left="152"/>
              <w:rPr>
                <w:sz w:val="22"/>
                <w:szCs w:val="22"/>
              </w:rPr>
            </w:pPr>
            <w:r w:rsidRPr="00394336">
              <w:rPr>
                <w:sz w:val="22"/>
                <w:szCs w:val="22"/>
              </w:rPr>
              <w:t>The curriculum reflects diverse voices, cultures, experiences and achievements.</w:t>
            </w:r>
          </w:p>
          <w:p w14:paraId="451C164D" w14:textId="77777777" w:rsidR="00394336" w:rsidRPr="00394336" w:rsidRDefault="00394336" w:rsidP="00394336">
            <w:pPr>
              <w:pStyle w:val="TableParagraph"/>
              <w:kinsoku w:val="0"/>
              <w:overflowPunct w:val="0"/>
              <w:spacing w:after="120"/>
              <w:ind w:left="152"/>
              <w:rPr>
                <w:sz w:val="22"/>
                <w:szCs w:val="22"/>
              </w:rPr>
            </w:pPr>
            <w:r w:rsidRPr="00394336">
              <w:rPr>
                <w:sz w:val="22"/>
                <w:szCs w:val="22"/>
              </w:rPr>
              <w:t>Pupil Voice demonstrates that children feel safe, respected and included.</w:t>
            </w:r>
          </w:p>
          <w:p w14:paraId="61906D20" w14:textId="77777777" w:rsidR="00394336" w:rsidRPr="00394336" w:rsidRDefault="00394336" w:rsidP="00394336">
            <w:pPr>
              <w:pStyle w:val="TableParagraph"/>
              <w:kinsoku w:val="0"/>
              <w:overflowPunct w:val="0"/>
              <w:spacing w:after="120"/>
              <w:ind w:left="152"/>
              <w:rPr>
                <w:sz w:val="22"/>
                <w:szCs w:val="22"/>
              </w:rPr>
            </w:pPr>
            <w:r w:rsidRPr="00394336">
              <w:rPr>
                <w:sz w:val="22"/>
                <w:szCs w:val="22"/>
              </w:rPr>
              <w:t>Opportunities to celebrate different cultures, faiths and communities are embedded throughout the school year.</w:t>
            </w:r>
          </w:p>
          <w:p w14:paraId="477AD95B" w14:textId="7CB746B4" w:rsidR="00394336" w:rsidRPr="00BA3864" w:rsidRDefault="00394336" w:rsidP="00394336">
            <w:pPr>
              <w:pStyle w:val="TableParagraph"/>
              <w:kinsoku w:val="0"/>
              <w:overflowPunct w:val="0"/>
              <w:spacing w:after="120"/>
              <w:ind w:left="152"/>
              <w:rPr>
                <w:sz w:val="22"/>
                <w:szCs w:val="22"/>
              </w:rPr>
            </w:pPr>
            <w:r w:rsidRPr="00394336">
              <w:rPr>
                <w:sz w:val="22"/>
                <w:szCs w:val="22"/>
              </w:rPr>
              <w:t>Strong partnerships with families and the wider community support pupils' understanding of inclusion and belonging.</w:t>
            </w:r>
          </w:p>
          <w:p w14:paraId="03E94DBD" w14:textId="17E6FA6F" w:rsidR="000F5C0E" w:rsidRPr="00BA3864" w:rsidRDefault="000F5C0E" w:rsidP="00245107">
            <w:pPr>
              <w:pStyle w:val="TableParagraph"/>
              <w:kinsoku w:val="0"/>
              <w:overflowPunct w:val="0"/>
              <w:spacing w:after="120"/>
              <w:ind w:left="105"/>
              <w:rPr>
                <w:sz w:val="22"/>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8B52F8" w14:textId="77777777" w:rsidR="00ED33D7" w:rsidRPr="00ED33D7" w:rsidRDefault="00ED33D7" w:rsidP="00ED33D7">
            <w:pPr>
              <w:pStyle w:val="TableParagraph"/>
              <w:kinsoku w:val="0"/>
              <w:overflowPunct w:val="0"/>
              <w:spacing w:after="120"/>
              <w:ind w:left="293"/>
              <w:rPr>
                <w:b/>
                <w:bCs/>
                <w:sz w:val="22"/>
                <w:szCs w:val="22"/>
                <w:u w:val="single"/>
              </w:rPr>
            </w:pPr>
            <w:r w:rsidRPr="00ED33D7">
              <w:rPr>
                <w:b/>
                <w:bCs/>
                <w:sz w:val="22"/>
                <w:szCs w:val="22"/>
                <w:u w:val="single"/>
              </w:rPr>
              <w:t>Progress Review 2025–2026</w:t>
            </w:r>
          </w:p>
          <w:p w14:paraId="0AB76227" w14:textId="77777777" w:rsidR="00ED33D7" w:rsidRPr="00ED33D7" w:rsidRDefault="00ED33D7" w:rsidP="004F2256">
            <w:pPr>
              <w:pStyle w:val="TableParagraph"/>
              <w:kinsoku w:val="0"/>
              <w:overflowPunct w:val="0"/>
              <w:spacing w:after="120"/>
              <w:ind w:left="151"/>
              <w:rPr>
                <w:sz w:val="22"/>
                <w:szCs w:val="22"/>
              </w:rPr>
            </w:pPr>
            <w:r w:rsidRPr="00ED33D7">
              <w:rPr>
                <w:sz w:val="22"/>
                <w:szCs w:val="22"/>
              </w:rPr>
              <w:t>A broad and inclusive curriculum continued to promote diversity, equality and representation across subjects.</w:t>
            </w:r>
          </w:p>
          <w:p w14:paraId="383D37DA" w14:textId="77777777" w:rsidR="00ED33D7" w:rsidRPr="00ED33D7" w:rsidRDefault="00ED33D7" w:rsidP="004F2256">
            <w:pPr>
              <w:pStyle w:val="TableParagraph"/>
              <w:kinsoku w:val="0"/>
              <w:overflowPunct w:val="0"/>
              <w:spacing w:after="120"/>
              <w:ind w:left="151"/>
              <w:rPr>
                <w:sz w:val="22"/>
                <w:szCs w:val="22"/>
              </w:rPr>
            </w:pPr>
            <w:r w:rsidRPr="00ED33D7">
              <w:rPr>
                <w:sz w:val="22"/>
                <w:szCs w:val="22"/>
              </w:rPr>
              <w:t>Assemblies, curriculum events and themed celebrations enhanced pupils' understanding of different cultures, faiths and communities.</w:t>
            </w:r>
          </w:p>
          <w:p w14:paraId="1F947D30" w14:textId="77777777" w:rsidR="00ED33D7" w:rsidRPr="00ED33D7" w:rsidRDefault="00ED33D7" w:rsidP="004F2256">
            <w:pPr>
              <w:pStyle w:val="TableParagraph"/>
              <w:kinsoku w:val="0"/>
              <w:overflowPunct w:val="0"/>
              <w:spacing w:after="120"/>
              <w:ind w:left="151"/>
              <w:rPr>
                <w:sz w:val="22"/>
                <w:szCs w:val="22"/>
              </w:rPr>
            </w:pPr>
            <w:r w:rsidRPr="00ED33D7">
              <w:rPr>
                <w:sz w:val="22"/>
                <w:szCs w:val="22"/>
              </w:rPr>
              <w:t>Strong community links were maintained through partnerships with local organisations, charities and faith groups.</w:t>
            </w:r>
          </w:p>
          <w:p w14:paraId="1E936FDC" w14:textId="77777777" w:rsidR="00ED33D7" w:rsidRPr="00ED33D7" w:rsidRDefault="00ED33D7" w:rsidP="004F2256">
            <w:pPr>
              <w:pStyle w:val="TableParagraph"/>
              <w:kinsoku w:val="0"/>
              <w:overflowPunct w:val="0"/>
              <w:spacing w:after="120"/>
              <w:ind w:left="151"/>
              <w:rPr>
                <w:sz w:val="22"/>
                <w:szCs w:val="22"/>
              </w:rPr>
            </w:pPr>
            <w:r w:rsidRPr="00ED33D7">
              <w:rPr>
                <w:sz w:val="22"/>
                <w:szCs w:val="22"/>
              </w:rPr>
              <w:t>Parents and carers were actively engaged through regular school events and celebrations.</w:t>
            </w:r>
          </w:p>
          <w:p w14:paraId="19370119" w14:textId="77777777" w:rsidR="00ED33D7" w:rsidRPr="00ED33D7" w:rsidRDefault="00ED33D7" w:rsidP="004F2256">
            <w:pPr>
              <w:pStyle w:val="TableParagraph"/>
              <w:kinsoku w:val="0"/>
              <w:overflowPunct w:val="0"/>
              <w:spacing w:after="120"/>
              <w:ind w:left="151"/>
              <w:rPr>
                <w:sz w:val="22"/>
                <w:szCs w:val="22"/>
              </w:rPr>
            </w:pPr>
            <w:r w:rsidRPr="00ED33D7">
              <w:rPr>
                <w:sz w:val="22"/>
                <w:szCs w:val="22"/>
              </w:rPr>
              <w:t>Pupil Voice and Parent Voice feedback indicated that pupils feel safe, valued and included within the academy community.</w:t>
            </w:r>
          </w:p>
          <w:p w14:paraId="4155256C" w14:textId="6E31DC11" w:rsidR="000F5C0E" w:rsidRPr="00ED33D7" w:rsidRDefault="00ED33D7" w:rsidP="004F2256">
            <w:pPr>
              <w:pStyle w:val="TableParagraph"/>
              <w:kinsoku w:val="0"/>
              <w:overflowPunct w:val="0"/>
              <w:spacing w:after="120"/>
              <w:ind w:left="151"/>
              <w:rPr>
                <w:sz w:val="22"/>
                <w:szCs w:val="22"/>
              </w:rPr>
            </w:pPr>
            <w:r w:rsidRPr="00ED33D7">
              <w:rPr>
                <w:sz w:val="22"/>
                <w:szCs w:val="22"/>
              </w:rPr>
              <w:t>Curriculum monitoring confirmed that opportunities to promote diversity, inclusion and respect are embedded across the school.</w:t>
            </w:r>
          </w:p>
          <w:p w14:paraId="7A898203" w14:textId="77777777" w:rsidR="000F5C0E" w:rsidRPr="00BA3864" w:rsidRDefault="000F5C0E" w:rsidP="00245107">
            <w:pPr>
              <w:pStyle w:val="TableParagraph"/>
              <w:kinsoku w:val="0"/>
              <w:overflowPunct w:val="0"/>
              <w:spacing w:after="120"/>
              <w:ind w:left="107"/>
              <w:rPr>
                <w:sz w:val="22"/>
                <w:szCs w:val="22"/>
              </w:rPr>
            </w:pPr>
          </w:p>
        </w:tc>
      </w:tr>
    </w:tbl>
    <w:p w14:paraId="3B8BD6C0" w14:textId="59204DF7" w:rsidR="009D1868" w:rsidRDefault="009D1868">
      <w:pPr>
        <w:pStyle w:val="BodyText"/>
        <w:kinsoku w:val="0"/>
        <w:overflowPunct w:val="0"/>
        <w:spacing w:before="10"/>
        <w:rPr>
          <w:b/>
          <w:bCs/>
          <w:sz w:val="18"/>
          <w:szCs w:val="18"/>
        </w:rPr>
      </w:pPr>
    </w:p>
    <w:p w14:paraId="123BDDC1" w14:textId="75DB13A0" w:rsidR="00D23124" w:rsidRPr="00D23124" w:rsidRDefault="00D23124" w:rsidP="00D23124">
      <w:pPr>
        <w:widowControl/>
        <w:autoSpaceDE/>
        <w:autoSpaceDN/>
        <w:adjustRightInd/>
        <w:spacing w:line="300" w:lineRule="atLeast"/>
        <w:ind w:left="284"/>
        <w:rPr>
          <w:rFonts w:ascii="Segoe UI" w:hAnsi="Segoe UI" w:cs="Segoe UI"/>
          <w:i/>
          <w:iCs/>
          <w:color w:val="C00000"/>
          <w:sz w:val="21"/>
          <w:szCs w:val="21"/>
        </w:rPr>
      </w:pPr>
      <w:r w:rsidRPr="00D23124">
        <w:rPr>
          <w:rFonts w:ascii="Segoe UI" w:hAnsi="Segoe UI" w:cs="Segoe UI"/>
          <w:i/>
          <w:iCs/>
          <w:color w:val="C00000"/>
          <w:sz w:val="21"/>
          <w:szCs w:val="21"/>
        </w:rPr>
        <w:t>*Leaders recognise that a number of vulnerable groups within the academy consist of very small cohorts and therefore evaluate both attainment outcomes and individual pupil progress when considering impact.</w:t>
      </w:r>
    </w:p>
    <w:p w14:paraId="3B8BD6C1" w14:textId="36C1ABFD" w:rsidR="009D1868" w:rsidRDefault="009D1868">
      <w:pPr>
        <w:pStyle w:val="BodyText"/>
        <w:kinsoku w:val="0"/>
        <w:overflowPunct w:val="0"/>
        <w:rPr>
          <w:b/>
          <w:bCs/>
        </w:rPr>
      </w:pPr>
    </w:p>
    <w:p w14:paraId="3B8BD6F6" w14:textId="77777777" w:rsidR="009D1868" w:rsidRDefault="009D1868"/>
    <w:sectPr w:rsidR="009D1868">
      <w:footerReference w:type="default" r:id="rId12"/>
      <w:pgSz w:w="16840" w:h="11910" w:orient="landscape"/>
      <w:pgMar w:top="680" w:right="680" w:bottom="920" w:left="600" w:header="0" w:footer="734" w:gutter="0"/>
      <w:cols w:space="720" w:equalWidth="0">
        <w:col w:w="15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CB5C2" w14:textId="77777777" w:rsidR="00BC747F" w:rsidRDefault="00BC747F">
      <w:r>
        <w:separator/>
      </w:r>
    </w:p>
  </w:endnote>
  <w:endnote w:type="continuationSeparator" w:id="0">
    <w:p w14:paraId="7D13E826" w14:textId="77777777" w:rsidR="00BC747F" w:rsidRDefault="00BC747F">
      <w:r>
        <w:continuationSeparator/>
      </w:r>
    </w:p>
  </w:endnote>
  <w:endnote w:type="continuationNotice" w:id="1">
    <w:p w14:paraId="33CE6BB0" w14:textId="77777777" w:rsidR="00BC747F" w:rsidRDefault="00BC7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544875"/>
      <w:docPartObj>
        <w:docPartGallery w:val="Page Numbers (Bottom of Page)"/>
        <w:docPartUnique/>
      </w:docPartObj>
    </w:sdtPr>
    <w:sdtEndPr>
      <w:rPr>
        <w:noProof/>
      </w:rPr>
    </w:sdtEndPr>
    <w:sdtContent>
      <w:p w14:paraId="06F1475F" w14:textId="027C4023" w:rsidR="00D8042B" w:rsidRDefault="00D804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8BD707" w14:textId="68BA3660" w:rsidR="009D1868" w:rsidRDefault="009D1868">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D9BE7" w14:textId="77777777" w:rsidR="00BC747F" w:rsidRDefault="00BC747F">
      <w:r>
        <w:separator/>
      </w:r>
    </w:p>
  </w:footnote>
  <w:footnote w:type="continuationSeparator" w:id="0">
    <w:p w14:paraId="24D71355" w14:textId="77777777" w:rsidR="00BC747F" w:rsidRDefault="00BC747F">
      <w:r>
        <w:continuationSeparator/>
      </w:r>
    </w:p>
  </w:footnote>
  <w:footnote w:type="continuationNotice" w:id="1">
    <w:p w14:paraId="1D9AC733" w14:textId="77777777" w:rsidR="00BC747F" w:rsidRDefault="00BC74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920" w:hanging="361"/>
      </w:pPr>
      <w:rPr>
        <w:b w:val="0"/>
        <w:bCs w:val="0"/>
        <w:w w:val="100"/>
      </w:rPr>
    </w:lvl>
    <w:lvl w:ilvl="1">
      <w:start w:val="1"/>
      <w:numFmt w:val="decimal"/>
      <w:lvlText w:val="%2."/>
      <w:lvlJc w:val="left"/>
      <w:pPr>
        <w:ind w:left="1640" w:hanging="361"/>
      </w:pPr>
      <w:rPr>
        <w:rFonts w:ascii="Calibri" w:hAnsi="Calibri" w:cs="Calibri"/>
        <w:b w:val="0"/>
        <w:bCs w:val="0"/>
        <w:w w:val="100"/>
        <w:sz w:val="22"/>
        <w:szCs w:val="22"/>
      </w:rPr>
    </w:lvl>
    <w:lvl w:ilvl="2">
      <w:numFmt w:val="bullet"/>
      <w:lvlText w:val="•"/>
      <w:lvlJc w:val="left"/>
      <w:pPr>
        <w:ind w:left="2538" w:hanging="361"/>
      </w:pPr>
    </w:lvl>
    <w:lvl w:ilvl="3">
      <w:numFmt w:val="bullet"/>
      <w:lvlText w:val="•"/>
      <w:lvlJc w:val="left"/>
      <w:pPr>
        <w:ind w:left="3436" w:hanging="361"/>
      </w:pPr>
    </w:lvl>
    <w:lvl w:ilvl="4">
      <w:numFmt w:val="bullet"/>
      <w:lvlText w:val="•"/>
      <w:lvlJc w:val="left"/>
      <w:pPr>
        <w:ind w:left="4335" w:hanging="361"/>
      </w:pPr>
    </w:lvl>
    <w:lvl w:ilvl="5">
      <w:numFmt w:val="bullet"/>
      <w:lvlText w:val="•"/>
      <w:lvlJc w:val="left"/>
      <w:pPr>
        <w:ind w:left="5233" w:hanging="361"/>
      </w:pPr>
    </w:lvl>
    <w:lvl w:ilvl="6">
      <w:numFmt w:val="bullet"/>
      <w:lvlText w:val="•"/>
      <w:lvlJc w:val="left"/>
      <w:pPr>
        <w:ind w:left="6132" w:hanging="361"/>
      </w:pPr>
    </w:lvl>
    <w:lvl w:ilvl="7">
      <w:numFmt w:val="bullet"/>
      <w:lvlText w:val="•"/>
      <w:lvlJc w:val="left"/>
      <w:pPr>
        <w:ind w:left="7030" w:hanging="361"/>
      </w:pPr>
    </w:lvl>
    <w:lvl w:ilvl="8">
      <w:numFmt w:val="bullet"/>
      <w:lvlText w:val="•"/>
      <w:lvlJc w:val="left"/>
      <w:pPr>
        <w:ind w:left="7929" w:hanging="361"/>
      </w:pPr>
    </w:lvl>
  </w:abstractNum>
  <w:abstractNum w:abstractNumId="1" w15:restartNumberingAfterBreak="0">
    <w:nsid w:val="00000403"/>
    <w:multiLevelType w:val="multilevel"/>
    <w:tmpl w:val="00000886"/>
    <w:lvl w:ilvl="0">
      <w:start w:val="4"/>
      <w:numFmt w:val="decimal"/>
      <w:lvlText w:val="%1."/>
      <w:lvlJc w:val="left"/>
      <w:pPr>
        <w:ind w:left="1640" w:hanging="361"/>
      </w:pPr>
      <w:rPr>
        <w:rFonts w:ascii="Calibri" w:hAnsi="Calibri" w:cs="Calibri"/>
        <w:b w:val="0"/>
        <w:bCs w:val="0"/>
        <w:w w:val="100"/>
        <w:sz w:val="22"/>
        <w:szCs w:val="22"/>
      </w:rPr>
    </w:lvl>
    <w:lvl w:ilvl="1">
      <w:numFmt w:val="bullet"/>
      <w:lvlText w:val="•"/>
      <w:lvlJc w:val="left"/>
      <w:pPr>
        <w:ind w:left="2448" w:hanging="361"/>
      </w:pPr>
    </w:lvl>
    <w:lvl w:ilvl="2">
      <w:numFmt w:val="bullet"/>
      <w:lvlText w:val="•"/>
      <w:lvlJc w:val="left"/>
      <w:pPr>
        <w:ind w:left="3257" w:hanging="361"/>
      </w:pPr>
    </w:lvl>
    <w:lvl w:ilvl="3">
      <w:numFmt w:val="bullet"/>
      <w:lvlText w:val="•"/>
      <w:lvlJc w:val="left"/>
      <w:pPr>
        <w:ind w:left="4065" w:hanging="361"/>
      </w:pPr>
    </w:lvl>
    <w:lvl w:ilvl="4">
      <w:numFmt w:val="bullet"/>
      <w:lvlText w:val="•"/>
      <w:lvlJc w:val="left"/>
      <w:pPr>
        <w:ind w:left="4874" w:hanging="361"/>
      </w:pPr>
    </w:lvl>
    <w:lvl w:ilvl="5">
      <w:numFmt w:val="bullet"/>
      <w:lvlText w:val="•"/>
      <w:lvlJc w:val="left"/>
      <w:pPr>
        <w:ind w:left="5683" w:hanging="361"/>
      </w:pPr>
    </w:lvl>
    <w:lvl w:ilvl="6">
      <w:numFmt w:val="bullet"/>
      <w:lvlText w:val="•"/>
      <w:lvlJc w:val="left"/>
      <w:pPr>
        <w:ind w:left="6491" w:hanging="361"/>
      </w:pPr>
    </w:lvl>
    <w:lvl w:ilvl="7">
      <w:numFmt w:val="bullet"/>
      <w:lvlText w:val="•"/>
      <w:lvlJc w:val="left"/>
      <w:pPr>
        <w:ind w:left="7300" w:hanging="361"/>
      </w:pPr>
    </w:lvl>
    <w:lvl w:ilvl="8">
      <w:numFmt w:val="bullet"/>
      <w:lvlText w:val="•"/>
      <w:lvlJc w:val="left"/>
      <w:pPr>
        <w:ind w:left="8109" w:hanging="361"/>
      </w:pPr>
    </w:lvl>
  </w:abstractNum>
  <w:abstractNum w:abstractNumId="2" w15:restartNumberingAfterBreak="0">
    <w:nsid w:val="00000404"/>
    <w:multiLevelType w:val="multilevel"/>
    <w:tmpl w:val="00000887"/>
    <w:lvl w:ilvl="0">
      <w:start w:val="1"/>
      <w:numFmt w:val="upperLetter"/>
      <w:lvlText w:val="%1."/>
      <w:lvlJc w:val="left"/>
      <w:pPr>
        <w:ind w:left="199" w:hanging="243"/>
      </w:pPr>
      <w:rPr>
        <w:rFonts w:ascii="Calibri" w:hAnsi="Calibri" w:cs="Calibri"/>
        <w:b/>
        <w:bCs/>
        <w:w w:val="100"/>
        <w:sz w:val="22"/>
        <w:szCs w:val="22"/>
      </w:rPr>
    </w:lvl>
    <w:lvl w:ilvl="1">
      <w:numFmt w:val="bullet"/>
      <w:lvlText w:val=""/>
      <w:lvlJc w:val="left"/>
      <w:pPr>
        <w:ind w:left="920" w:hanging="360"/>
      </w:pPr>
      <w:rPr>
        <w:rFonts w:ascii="Symbol" w:hAnsi="Symbol" w:cs="Symbol"/>
        <w:b w:val="0"/>
        <w:bCs w:val="0"/>
        <w:w w:val="99"/>
        <w:sz w:val="20"/>
        <w:szCs w:val="20"/>
      </w:rPr>
    </w:lvl>
    <w:lvl w:ilvl="2">
      <w:numFmt w:val="bullet"/>
      <w:lvlText w:val="•"/>
      <w:lvlJc w:val="left"/>
      <w:pPr>
        <w:ind w:left="1898" w:hanging="360"/>
      </w:pPr>
    </w:lvl>
    <w:lvl w:ilvl="3">
      <w:numFmt w:val="bullet"/>
      <w:lvlText w:val="•"/>
      <w:lvlJc w:val="left"/>
      <w:pPr>
        <w:ind w:left="2876" w:hanging="360"/>
      </w:pPr>
    </w:lvl>
    <w:lvl w:ilvl="4">
      <w:numFmt w:val="bullet"/>
      <w:lvlText w:val="•"/>
      <w:lvlJc w:val="left"/>
      <w:pPr>
        <w:ind w:left="3855" w:hanging="360"/>
      </w:pPr>
    </w:lvl>
    <w:lvl w:ilvl="5">
      <w:numFmt w:val="bullet"/>
      <w:lvlText w:val="•"/>
      <w:lvlJc w:val="left"/>
      <w:pPr>
        <w:ind w:left="4833" w:hanging="360"/>
      </w:pPr>
    </w:lvl>
    <w:lvl w:ilvl="6">
      <w:numFmt w:val="bullet"/>
      <w:lvlText w:val="•"/>
      <w:lvlJc w:val="left"/>
      <w:pPr>
        <w:ind w:left="5812" w:hanging="360"/>
      </w:pPr>
    </w:lvl>
    <w:lvl w:ilvl="7">
      <w:numFmt w:val="bullet"/>
      <w:lvlText w:val="•"/>
      <w:lvlJc w:val="left"/>
      <w:pPr>
        <w:ind w:left="6790" w:hanging="360"/>
      </w:pPr>
    </w:lvl>
    <w:lvl w:ilvl="8">
      <w:numFmt w:val="bullet"/>
      <w:lvlText w:val="•"/>
      <w:lvlJc w:val="left"/>
      <w:pPr>
        <w:ind w:left="7769" w:hanging="360"/>
      </w:pPr>
    </w:lvl>
  </w:abstractNum>
  <w:abstractNum w:abstractNumId="3" w15:restartNumberingAfterBreak="0">
    <w:nsid w:val="01D500DF"/>
    <w:multiLevelType w:val="multilevel"/>
    <w:tmpl w:val="3D6E22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0E83840"/>
    <w:multiLevelType w:val="hybridMultilevel"/>
    <w:tmpl w:val="4C34BCCE"/>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5" w15:restartNumberingAfterBreak="0">
    <w:nsid w:val="148E4DE7"/>
    <w:multiLevelType w:val="multilevel"/>
    <w:tmpl w:val="BA18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9B6FC4"/>
    <w:multiLevelType w:val="hybridMultilevel"/>
    <w:tmpl w:val="0E5C3E7E"/>
    <w:lvl w:ilvl="0" w:tplc="08090001">
      <w:start w:val="1"/>
      <w:numFmt w:val="bullet"/>
      <w:lvlText w:val=""/>
      <w:lvlJc w:val="left"/>
      <w:pPr>
        <w:ind w:left="511" w:hanging="360"/>
      </w:pPr>
      <w:rPr>
        <w:rFonts w:ascii="Symbol" w:hAnsi="Symbol" w:hint="default"/>
      </w:rPr>
    </w:lvl>
    <w:lvl w:ilvl="1" w:tplc="08090003" w:tentative="1">
      <w:start w:val="1"/>
      <w:numFmt w:val="bullet"/>
      <w:lvlText w:val="o"/>
      <w:lvlJc w:val="left"/>
      <w:pPr>
        <w:ind w:left="1231" w:hanging="360"/>
      </w:pPr>
      <w:rPr>
        <w:rFonts w:ascii="Courier New" w:hAnsi="Courier New" w:cs="Courier New" w:hint="default"/>
      </w:rPr>
    </w:lvl>
    <w:lvl w:ilvl="2" w:tplc="08090005" w:tentative="1">
      <w:start w:val="1"/>
      <w:numFmt w:val="bullet"/>
      <w:lvlText w:val=""/>
      <w:lvlJc w:val="left"/>
      <w:pPr>
        <w:ind w:left="1951" w:hanging="360"/>
      </w:pPr>
      <w:rPr>
        <w:rFonts w:ascii="Wingdings" w:hAnsi="Wingdings" w:hint="default"/>
      </w:rPr>
    </w:lvl>
    <w:lvl w:ilvl="3" w:tplc="08090001" w:tentative="1">
      <w:start w:val="1"/>
      <w:numFmt w:val="bullet"/>
      <w:lvlText w:val=""/>
      <w:lvlJc w:val="left"/>
      <w:pPr>
        <w:ind w:left="2671" w:hanging="360"/>
      </w:pPr>
      <w:rPr>
        <w:rFonts w:ascii="Symbol" w:hAnsi="Symbol" w:hint="default"/>
      </w:rPr>
    </w:lvl>
    <w:lvl w:ilvl="4" w:tplc="08090003" w:tentative="1">
      <w:start w:val="1"/>
      <w:numFmt w:val="bullet"/>
      <w:lvlText w:val="o"/>
      <w:lvlJc w:val="left"/>
      <w:pPr>
        <w:ind w:left="3391" w:hanging="360"/>
      </w:pPr>
      <w:rPr>
        <w:rFonts w:ascii="Courier New" w:hAnsi="Courier New" w:cs="Courier New" w:hint="default"/>
      </w:rPr>
    </w:lvl>
    <w:lvl w:ilvl="5" w:tplc="08090005" w:tentative="1">
      <w:start w:val="1"/>
      <w:numFmt w:val="bullet"/>
      <w:lvlText w:val=""/>
      <w:lvlJc w:val="left"/>
      <w:pPr>
        <w:ind w:left="4111" w:hanging="360"/>
      </w:pPr>
      <w:rPr>
        <w:rFonts w:ascii="Wingdings" w:hAnsi="Wingdings" w:hint="default"/>
      </w:rPr>
    </w:lvl>
    <w:lvl w:ilvl="6" w:tplc="08090001" w:tentative="1">
      <w:start w:val="1"/>
      <w:numFmt w:val="bullet"/>
      <w:lvlText w:val=""/>
      <w:lvlJc w:val="left"/>
      <w:pPr>
        <w:ind w:left="4831" w:hanging="360"/>
      </w:pPr>
      <w:rPr>
        <w:rFonts w:ascii="Symbol" w:hAnsi="Symbol" w:hint="default"/>
      </w:rPr>
    </w:lvl>
    <w:lvl w:ilvl="7" w:tplc="08090003" w:tentative="1">
      <w:start w:val="1"/>
      <w:numFmt w:val="bullet"/>
      <w:lvlText w:val="o"/>
      <w:lvlJc w:val="left"/>
      <w:pPr>
        <w:ind w:left="5551" w:hanging="360"/>
      </w:pPr>
      <w:rPr>
        <w:rFonts w:ascii="Courier New" w:hAnsi="Courier New" w:cs="Courier New" w:hint="default"/>
      </w:rPr>
    </w:lvl>
    <w:lvl w:ilvl="8" w:tplc="08090005" w:tentative="1">
      <w:start w:val="1"/>
      <w:numFmt w:val="bullet"/>
      <w:lvlText w:val=""/>
      <w:lvlJc w:val="left"/>
      <w:pPr>
        <w:ind w:left="6271" w:hanging="360"/>
      </w:pPr>
      <w:rPr>
        <w:rFonts w:ascii="Wingdings" w:hAnsi="Wingdings" w:hint="default"/>
      </w:rPr>
    </w:lvl>
  </w:abstractNum>
  <w:abstractNum w:abstractNumId="7" w15:restartNumberingAfterBreak="0">
    <w:nsid w:val="2E0A7BB2"/>
    <w:multiLevelType w:val="hybridMultilevel"/>
    <w:tmpl w:val="5B5A2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9C14FE"/>
    <w:multiLevelType w:val="hybridMultilevel"/>
    <w:tmpl w:val="EC90DF58"/>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9" w15:restartNumberingAfterBreak="0">
    <w:nsid w:val="39BB0C0A"/>
    <w:multiLevelType w:val="hybridMultilevel"/>
    <w:tmpl w:val="04CA03A4"/>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0" w15:restartNumberingAfterBreak="0">
    <w:nsid w:val="3B531F34"/>
    <w:multiLevelType w:val="hybridMultilevel"/>
    <w:tmpl w:val="8FA2D7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815D52"/>
    <w:multiLevelType w:val="multilevel"/>
    <w:tmpl w:val="B3E85D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56677178"/>
    <w:multiLevelType w:val="multilevel"/>
    <w:tmpl w:val="C0A0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CE219E"/>
    <w:multiLevelType w:val="hybridMultilevel"/>
    <w:tmpl w:val="B7E45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1902C2"/>
    <w:multiLevelType w:val="multilevel"/>
    <w:tmpl w:val="063EC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6A8077C0"/>
    <w:multiLevelType w:val="multilevel"/>
    <w:tmpl w:val="AB10F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796D3028"/>
    <w:multiLevelType w:val="hybridMultilevel"/>
    <w:tmpl w:val="3504478E"/>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num w:numId="1" w16cid:durableId="995769929">
    <w:abstractNumId w:val="2"/>
  </w:num>
  <w:num w:numId="2" w16cid:durableId="499125222">
    <w:abstractNumId w:val="1"/>
  </w:num>
  <w:num w:numId="3" w16cid:durableId="1192455511">
    <w:abstractNumId w:val="0"/>
  </w:num>
  <w:num w:numId="4" w16cid:durableId="479201712">
    <w:abstractNumId w:val="4"/>
  </w:num>
  <w:num w:numId="5" w16cid:durableId="1193613406">
    <w:abstractNumId w:val="8"/>
  </w:num>
  <w:num w:numId="6" w16cid:durableId="1449932629">
    <w:abstractNumId w:val="9"/>
  </w:num>
  <w:num w:numId="7" w16cid:durableId="1996495210">
    <w:abstractNumId w:val="13"/>
  </w:num>
  <w:num w:numId="8" w16cid:durableId="1188518452">
    <w:abstractNumId w:val="7"/>
  </w:num>
  <w:num w:numId="9" w16cid:durableId="1567298402">
    <w:abstractNumId w:val="10"/>
  </w:num>
  <w:num w:numId="10" w16cid:durableId="1906181042">
    <w:abstractNumId w:val="16"/>
  </w:num>
  <w:num w:numId="11" w16cid:durableId="1683051037">
    <w:abstractNumId w:val="12"/>
  </w:num>
  <w:num w:numId="12" w16cid:durableId="847448404">
    <w:abstractNumId w:val="15"/>
  </w:num>
  <w:num w:numId="13" w16cid:durableId="1122381558">
    <w:abstractNumId w:val="3"/>
  </w:num>
  <w:num w:numId="14" w16cid:durableId="877816903">
    <w:abstractNumId w:val="11"/>
  </w:num>
  <w:num w:numId="15" w16cid:durableId="325597141">
    <w:abstractNumId w:val="14"/>
  </w:num>
  <w:num w:numId="16" w16cid:durableId="907767365">
    <w:abstractNumId w:val="5"/>
  </w:num>
  <w:num w:numId="17" w16cid:durableId="201279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B6"/>
    <w:rsid w:val="00004120"/>
    <w:rsid w:val="00030747"/>
    <w:rsid w:val="0003472D"/>
    <w:rsid w:val="000371B4"/>
    <w:rsid w:val="00041C29"/>
    <w:rsid w:val="00042D58"/>
    <w:rsid w:val="00043FF2"/>
    <w:rsid w:val="00047D79"/>
    <w:rsid w:val="00050213"/>
    <w:rsid w:val="00052E8E"/>
    <w:rsid w:val="0005305A"/>
    <w:rsid w:val="0005745E"/>
    <w:rsid w:val="0006574F"/>
    <w:rsid w:val="00072FEA"/>
    <w:rsid w:val="000804B7"/>
    <w:rsid w:val="000A1856"/>
    <w:rsid w:val="000B231F"/>
    <w:rsid w:val="000C361E"/>
    <w:rsid w:val="000D2E84"/>
    <w:rsid w:val="000D5474"/>
    <w:rsid w:val="000D65E8"/>
    <w:rsid w:val="000F5C0E"/>
    <w:rsid w:val="000F6993"/>
    <w:rsid w:val="00143C9D"/>
    <w:rsid w:val="001512D9"/>
    <w:rsid w:val="001572CF"/>
    <w:rsid w:val="00162753"/>
    <w:rsid w:val="00171731"/>
    <w:rsid w:val="001725D9"/>
    <w:rsid w:val="00177993"/>
    <w:rsid w:val="00197221"/>
    <w:rsid w:val="001B260F"/>
    <w:rsid w:val="001B3940"/>
    <w:rsid w:val="001C0B74"/>
    <w:rsid w:val="001C542C"/>
    <w:rsid w:val="001E0929"/>
    <w:rsid w:val="001E1284"/>
    <w:rsid w:val="001E25F3"/>
    <w:rsid w:val="001F0AA3"/>
    <w:rsid w:val="001F1156"/>
    <w:rsid w:val="00216316"/>
    <w:rsid w:val="00245107"/>
    <w:rsid w:val="002459ED"/>
    <w:rsid w:val="00253940"/>
    <w:rsid w:val="00253A45"/>
    <w:rsid w:val="00260D16"/>
    <w:rsid w:val="002622CE"/>
    <w:rsid w:val="002758E4"/>
    <w:rsid w:val="00284F87"/>
    <w:rsid w:val="002900ED"/>
    <w:rsid w:val="00292943"/>
    <w:rsid w:val="002A4FA0"/>
    <w:rsid w:val="002A7E5C"/>
    <w:rsid w:val="002B711A"/>
    <w:rsid w:val="002E0A84"/>
    <w:rsid w:val="002E4622"/>
    <w:rsid w:val="002F5C0D"/>
    <w:rsid w:val="0030165E"/>
    <w:rsid w:val="00303179"/>
    <w:rsid w:val="00304C89"/>
    <w:rsid w:val="0033246B"/>
    <w:rsid w:val="003368E5"/>
    <w:rsid w:val="0035090E"/>
    <w:rsid w:val="00352D11"/>
    <w:rsid w:val="003850CD"/>
    <w:rsid w:val="00385FDD"/>
    <w:rsid w:val="00386323"/>
    <w:rsid w:val="0038640A"/>
    <w:rsid w:val="00390DDE"/>
    <w:rsid w:val="00394336"/>
    <w:rsid w:val="00396018"/>
    <w:rsid w:val="0039677E"/>
    <w:rsid w:val="00397E94"/>
    <w:rsid w:val="003A1B32"/>
    <w:rsid w:val="003A75D8"/>
    <w:rsid w:val="003A77CC"/>
    <w:rsid w:val="003B786A"/>
    <w:rsid w:val="003D5A76"/>
    <w:rsid w:val="003D638A"/>
    <w:rsid w:val="003E0AB6"/>
    <w:rsid w:val="003E4857"/>
    <w:rsid w:val="003F592D"/>
    <w:rsid w:val="00405B07"/>
    <w:rsid w:val="004344DE"/>
    <w:rsid w:val="00435431"/>
    <w:rsid w:val="004609BB"/>
    <w:rsid w:val="00462C30"/>
    <w:rsid w:val="0047119F"/>
    <w:rsid w:val="00475D11"/>
    <w:rsid w:val="004819FE"/>
    <w:rsid w:val="0049121A"/>
    <w:rsid w:val="004A79F8"/>
    <w:rsid w:val="004B6227"/>
    <w:rsid w:val="004B6554"/>
    <w:rsid w:val="004C7965"/>
    <w:rsid w:val="004D1CB7"/>
    <w:rsid w:val="004E0DF8"/>
    <w:rsid w:val="004E2600"/>
    <w:rsid w:val="004E3AA4"/>
    <w:rsid w:val="004F2256"/>
    <w:rsid w:val="00501314"/>
    <w:rsid w:val="005033C4"/>
    <w:rsid w:val="005105AC"/>
    <w:rsid w:val="0056130D"/>
    <w:rsid w:val="00563333"/>
    <w:rsid w:val="005676CD"/>
    <w:rsid w:val="00570313"/>
    <w:rsid w:val="00570339"/>
    <w:rsid w:val="00584329"/>
    <w:rsid w:val="00586DFB"/>
    <w:rsid w:val="005B56FA"/>
    <w:rsid w:val="005D659F"/>
    <w:rsid w:val="005E13C2"/>
    <w:rsid w:val="005E7682"/>
    <w:rsid w:val="0060171B"/>
    <w:rsid w:val="00606D89"/>
    <w:rsid w:val="006178B8"/>
    <w:rsid w:val="00626AF8"/>
    <w:rsid w:val="00627F69"/>
    <w:rsid w:val="006329ED"/>
    <w:rsid w:val="00651D90"/>
    <w:rsid w:val="00657026"/>
    <w:rsid w:val="00675109"/>
    <w:rsid w:val="006859F1"/>
    <w:rsid w:val="00693C34"/>
    <w:rsid w:val="006A1CC5"/>
    <w:rsid w:val="006B2D17"/>
    <w:rsid w:val="006B6441"/>
    <w:rsid w:val="006B6CD0"/>
    <w:rsid w:val="006B7A4C"/>
    <w:rsid w:val="006C04BA"/>
    <w:rsid w:val="006C087A"/>
    <w:rsid w:val="006C5A6A"/>
    <w:rsid w:val="006C67EC"/>
    <w:rsid w:val="006D60DC"/>
    <w:rsid w:val="006E076A"/>
    <w:rsid w:val="006E1189"/>
    <w:rsid w:val="006E464B"/>
    <w:rsid w:val="006F1431"/>
    <w:rsid w:val="006F736A"/>
    <w:rsid w:val="00705549"/>
    <w:rsid w:val="0071074C"/>
    <w:rsid w:val="0073231E"/>
    <w:rsid w:val="0073540A"/>
    <w:rsid w:val="00741470"/>
    <w:rsid w:val="00742482"/>
    <w:rsid w:val="00785A0F"/>
    <w:rsid w:val="007917AC"/>
    <w:rsid w:val="007933D9"/>
    <w:rsid w:val="007A1326"/>
    <w:rsid w:val="007A21A0"/>
    <w:rsid w:val="007A42CA"/>
    <w:rsid w:val="007A5B08"/>
    <w:rsid w:val="007C303A"/>
    <w:rsid w:val="007D6F19"/>
    <w:rsid w:val="007F7489"/>
    <w:rsid w:val="00825496"/>
    <w:rsid w:val="00833DB4"/>
    <w:rsid w:val="008443C5"/>
    <w:rsid w:val="00873ED4"/>
    <w:rsid w:val="0087576F"/>
    <w:rsid w:val="00885E1C"/>
    <w:rsid w:val="008867F8"/>
    <w:rsid w:val="0089068F"/>
    <w:rsid w:val="008B3943"/>
    <w:rsid w:val="008D354C"/>
    <w:rsid w:val="008E619E"/>
    <w:rsid w:val="008F5397"/>
    <w:rsid w:val="009043C6"/>
    <w:rsid w:val="00912B88"/>
    <w:rsid w:val="00917525"/>
    <w:rsid w:val="00950F56"/>
    <w:rsid w:val="009928DD"/>
    <w:rsid w:val="009943C7"/>
    <w:rsid w:val="009B5759"/>
    <w:rsid w:val="009C6168"/>
    <w:rsid w:val="009D1868"/>
    <w:rsid w:val="009D27B3"/>
    <w:rsid w:val="009D4FC1"/>
    <w:rsid w:val="00A02F55"/>
    <w:rsid w:val="00A07A52"/>
    <w:rsid w:val="00A124E5"/>
    <w:rsid w:val="00A17838"/>
    <w:rsid w:val="00A3296D"/>
    <w:rsid w:val="00A5218E"/>
    <w:rsid w:val="00A81391"/>
    <w:rsid w:val="00A85082"/>
    <w:rsid w:val="00A86F2C"/>
    <w:rsid w:val="00AB36ED"/>
    <w:rsid w:val="00AB6FDD"/>
    <w:rsid w:val="00AB7EA2"/>
    <w:rsid w:val="00AC2A66"/>
    <w:rsid w:val="00AC4795"/>
    <w:rsid w:val="00AD19F5"/>
    <w:rsid w:val="00B06D75"/>
    <w:rsid w:val="00B13DB3"/>
    <w:rsid w:val="00B14F69"/>
    <w:rsid w:val="00B268AA"/>
    <w:rsid w:val="00B30636"/>
    <w:rsid w:val="00B41D50"/>
    <w:rsid w:val="00B42633"/>
    <w:rsid w:val="00B42979"/>
    <w:rsid w:val="00B431DB"/>
    <w:rsid w:val="00B518E1"/>
    <w:rsid w:val="00B625E4"/>
    <w:rsid w:val="00BA3864"/>
    <w:rsid w:val="00BB0F79"/>
    <w:rsid w:val="00BB450B"/>
    <w:rsid w:val="00BC747F"/>
    <w:rsid w:val="00BD0FD4"/>
    <w:rsid w:val="00BD4CA8"/>
    <w:rsid w:val="00BF5AF5"/>
    <w:rsid w:val="00C04578"/>
    <w:rsid w:val="00C06C8D"/>
    <w:rsid w:val="00C22B3D"/>
    <w:rsid w:val="00C34A10"/>
    <w:rsid w:val="00C3564C"/>
    <w:rsid w:val="00C40759"/>
    <w:rsid w:val="00C457AF"/>
    <w:rsid w:val="00C46838"/>
    <w:rsid w:val="00C64068"/>
    <w:rsid w:val="00C6670E"/>
    <w:rsid w:val="00C70D61"/>
    <w:rsid w:val="00C9455F"/>
    <w:rsid w:val="00C96B40"/>
    <w:rsid w:val="00CA013D"/>
    <w:rsid w:val="00CB4BA6"/>
    <w:rsid w:val="00CC058C"/>
    <w:rsid w:val="00CC1A0C"/>
    <w:rsid w:val="00CE0165"/>
    <w:rsid w:val="00CE593B"/>
    <w:rsid w:val="00CF1E59"/>
    <w:rsid w:val="00CF5C9E"/>
    <w:rsid w:val="00D06F86"/>
    <w:rsid w:val="00D16BB7"/>
    <w:rsid w:val="00D23124"/>
    <w:rsid w:val="00D4545A"/>
    <w:rsid w:val="00D46CA7"/>
    <w:rsid w:val="00D546F6"/>
    <w:rsid w:val="00D5513F"/>
    <w:rsid w:val="00D668C5"/>
    <w:rsid w:val="00D70891"/>
    <w:rsid w:val="00D8042B"/>
    <w:rsid w:val="00D80F37"/>
    <w:rsid w:val="00DE2EED"/>
    <w:rsid w:val="00DE7254"/>
    <w:rsid w:val="00DF56C0"/>
    <w:rsid w:val="00DF7595"/>
    <w:rsid w:val="00DF7C4D"/>
    <w:rsid w:val="00E11E07"/>
    <w:rsid w:val="00E27C70"/>
    <w:rsid w:val="00E32862"/>
    <w:rsid w:val="00E33AAA"/>
    <w:rsid w:val="00E347DB"/>
    <w:rsid w:val="00E4093F"/>
    <w:rsid w:val="00E42EAA"/>
    <w:rsid w:val="00E62B19"/>
    <w:rsid w:val="00E721EF"/>
    <w:rsid w:val="00E80877"/>
    <w:rsid w:val="00EA3B2C"/>
    <w:rsid w:val="00EB1316"/>
    <w:rsid w:val="00ED33D7"/>
    <w:rsid w:val="00ED4EEC"/>
    <w:rsid w:val="00ED5E16"/>
    <w:rsid w:val="00EF1CAE"/>
    <w:rsid w:val="00EF4D01"/>
    <w:rsid w:val="00F04CF8"/>
    <w:rsid w:val="00F10386"/>
    <w:rsid w:val="00F23DD0"/>
    <w:rsid w:val="00F27A18"/>
    <w:rsid w:val="00F527C9"/>
    <w:rsid w:val="00F57E77"/>
    <w:rsid w:val="00F63966"/>
    <w:rsid w:val="00F735DB"/>
    <w:rsid w:val="00F762F0"/>
    <w:rsid w:val="00F76511"/>
    <w:rsid w:val="00F963C5"/>
    <w:rsid w:val="00FB4D08"/>
    <w:rsid w:val="00FB61F3"/>
    <w:rsid w:val="00FD0AF9"/>
    <w:rsid w:val="00FD6A24"/>
    <w:rsid w:val="00FF4462"/>
    <w:rsid w:val="00FF7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8BD604"/>
  <w14:defaultImageDpi w14:val="0"/>
  <w15:docId w15:val="{3EAEF9AA-D288-4B16-8880-2DA6FF38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rPr>
  </w:style>
  <w:style w:type="paragraph" w:styleId="Heading1">
    <w:name w:val="heading 1"/>
    <w:basedOn w:val="Normal"/>
    <w:next w:val="Normal"/>
    <w:link w:val="Heading1Char"/>
    <w:uiPriority w:val="1"/>
    <w:qFormat/>
    <w:pPr>
      <w:ind w:left="200"/>
      <w:outlineLvl w:val="0"/>
    </w:pPr>
    <w:rPr>
      <w:b/>
      <w:bCs/>
    </w:rPr>
  </w:style>
  <w:style w:type="paragraph" w:styleId="Heading2">
    <w:name w:val="heading 2"/>
    <w:basedOn w:val="Normal"/>
    <w:next w:val="Normal"/>
    <w:link w:val="Heading2Char"/>
    <w:uiPriority w:val="9"/>
    <w:semiHidden/>
    <w:unhideWhenUsed/>
    <w:qFormat/>
    <w:rsid w:val="00D16BB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0D6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0D6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Calibri" w:hAnsi="Calibri" w:cs="Calibri"/>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paragraph" w:styleId="ListParagraph">
    <w:name w:val="List Paragraph"/>
    <w:basedOn w:val="Normal"/>
    <w:uiPriority w:val="1"/>
    <w:qFormat/>
    <w:pPr>
      <w:ind w:left="920" w:hanging="36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584329"/>
    <w:pPr>
      <w:tabs>
        <w:tab w:val="center" w:pos="4513"/>
        <w:tab w:val="right" w:pos="9026"/>
      </w:tabs>
    </w:pPr>
  </w:style>
  <w:style w:type="character" w:customStyle="1" w:styleId="HeaderChar">
    <w:name w:val="Header Char"/>
    <w:basedOn w:val="DefaultParagraphFont"/>
    <w:link w:val="Header"/>
    <w:uiPriority w:val="99"/>
    <w:rsid w:val="00584329"/>
    <w:rPr>
      <w:rFonts w:cs="Calibri"/>
      <w:sz w:val="22"/>
      <w:szCs w:val="22"/>
    </w:rPr>
  </w:style>
  <w:style w:type="paragraph" w:styleId="Footer">
    <w:name w:val="footer"/>
    <w:basedOn w:val="Normal"/>
    <w:link w:val="FooterChar"/>
    <w:uiPriority w:val="99"/>
    <w:unhideWhenUsed/>
    <w:rsid w:val="00584329"/>
    <w:pPr>
      <w:tabs>
        <w:tab w:val="center" w:pos="4513"/>
        <w:tab w:val="right" w:pos="9026"/>
      </w:tabs>
    </w:pPr>
  </w:style>
  <w:style w:type="character" w:customStyle="1" w:styleId="FooterChar">
    <w:name w:val="Footer Char"/>
    <w:basedOn w:val="DefaultParagraphFont"/>
    <w:link w:val="Footer"/>
    <w:uiPriority w:val="99"/>
    <w:rsid w:val="00584329"/>
    <w:rPr>
      <w:rFonts w:cs="Calibri"/>
      <w:sz w:val="22"/>
      <w:szCs w:val="22"/>
    </w:rPr>
  </w:style>
  <w:style w:type="paragraph" w:customStyle="1" w:styleId="Default">
    <w:name w:val="Default"/>
    <w:rsid w:val="0035090E"/>
    <w:pPr>
      <w:autoSpaceDE w:val="0"/>
      <w:autoSpaceDN w:val="0"/>
      <w:adjustRightInd w:val="0"/>
    </w:pPr>
    <w:rPr>
      <w:rFonts w:cs="Calibri"/>
      <w:color w:val="000000"/>
      <w:sz w:val="24"/>
      <w:szCs w:val="24"/>
    </w:rPr>
  </w:style>
  <w:style w:type="character" w:customStyle="1" w:styleId="Heading3Char">
    <w:name w:val="Heading 3 Char"/>
    <w:basedOn w:val="DefaultParagraphFont"/>
    <w:link w:val="Heading3"/>
    <w:uiPriority w:val="9"/>
    <w:semiHidden/>
    <w:rsid w:val="00C70D6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70D61"/>
    <w:rPr>
      <w:rFonts w:asciiTheme="majorHAnsi" w:eastAsiaTheme="majorEastAsia" w:hAnsiTheme="majorHAnsi" w:cstheme="majorBidi"/>
      <w:i/>
      <w:iCs/>
      <w:color w:val="2F5496" w:themeColor="accent1" w:themeShade="BF"/>
      <w:sz w:val="22"/>
      <w:szCs w:val="22"/>
    </w:rPr>
  </w:style>
  <w:style w:type="character" w:customStyle="1" w:styleId="Heading2Char">
    <w:name w:val="Heading 2 Char"/>
    <w:basedOn w:val="DefaultParagraphFont"/>
    <w:link w:val="Heading2"/>
    <w:uiPriority w:val="9"/>
    <w:semiHidden/>
    <w:rsid w:val="00D16BB7"/>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16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en.groenewald\Downloads\Equality%20duties%20framework%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becc07a8-29d5-46c8-a63b-e55b299f6f10" xsi:nil="true"/>
    <IsNotebookLocked xmlns="becc07a8-29d5-46c8-a63b-e55b299f6f10" xsi:nil="true"/>
    <TaxCatchAll xmlns="a15df84e-a0e8-4343-8c5f-30167ed4d8e8" xsi:nil="true"/>
    <CultureName xmlns="becc07a8-29d5-46c8-a63b-e55b299f6f10" xsi:nil="true"/>
    <Owner xmlns="becc07a8-29d5-46c8-a63b-e55b299f6f10">
      <UserInfo>
        <DisplayName/>
        <AccountId xsi:nil="true"/>
        <AccountType/>
      </UserInfo>
    </Owner>
    <Distribution_Groups xmlns="becc07a8-29d5-46c8-a63b-e55b299f6f10" xsi:nil="true"/>
    <Members xmlns="becc07a8-29d5-46c8-a63b-e55b299f6f10">
      <UserInfo>
        <DisplayName/>
        <AccountId xsi:nil="true"/>
        <AccountType/>
      </UserInfo>
    </Members>
    <Is_Collaboration_Space_Locked xmlns="becc07a8-29d5-46c8-a63b-e55b299f6f10" xsi:nil="true"/>
    <NotebookType xmlns="becc07a8-29d5-46c8-a63b-e55b299f6f10" xsi:nil="true"/>
    <FolderType xmlns="becc07a8-29d5-46c8-a63b-e55b299f6f10" xsi:nil="true"/>
    <Leaders xmlns="becc07a8-29d5-46c8-a63b-e55b299f6f10">
      <UserInfo>
        <DisplayName/>
        <AccountId xsi:nil="true"/>
        <AccountType/>
      </UserInfo>
    </Leaders>
    <DefaultSectionNames xmlns="becc07a8-29d5-46c8-a63b-e55b299f6f10" xsi:nil="true"/>
    <Member_Groups xmlns="becc07a8-29d5-46c8-a63b-e55b299f6f10">
      <UserInfo>
        <DisplayName/>
        <AccountId xsi:nil="true"/>
        <AccountType/>
      </UserInfo>
    </Member_Groups>
    <lcf76f155ced4ddcb4097134ff3c332f xmlns="becc07a8-29d5-46c8-a63b-e55b299f6f10">
      <Terms xmlns="http://schemas.microsoft.com/office/infopath/2007/PartnerControls"/>
    </lcf76f155ced4ddcb4097134ff3c332f>
    <Math_Settings xmlns="becc07a8-29d5-46c8-a63b-e55b299f6f10" xsi:nil="true"/>
    <Templates xmlns="becc07a8-29d5-46c8-a63b-e55b299f6f10" xsi:nil="true"/>
    <Self_Registration_Enabled xmlns="becc07a8-29d5-46c8-a63b-e55b299f6f10" xsi:nil="true"/>
    <Invited_Members xmlns="becc07a8-29d5-46c8-a63b-e55b299f6f10" xsi:nil="true"/>
    <AppVersion xmlns="becc07a8-29d5-46c8-a63b-e55b299f6f10" xsi:nil="true"/>
    <LMS_Mappings xmlns="becc07a8-29d5-46c8-a63b-e55b299f6f10" xsi:nil="true"/>
    <Invited_Leaders xmlns="becc07a8-29d5-46c8-a63b-e55b299f6f10" xsi:nil="true"/>
    <Has_Leaders_Only_SectionGroup xmlns="becc07a8-29d5-46c8-a63b-e55b299f6f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724477E469640AF270FE301B8E242" ma:contentTypeVersion="39" ma:contentTypeDescription="Create a new document." ma:contentTypeScope="" ma:versionID="c5d570833e38db99634ee3ba65a715d5">
  <xsd:schema xmlns:xsd="http://www.w3.org/2001/XMLSchema" xmlns:xs="http://www.w3.org/2001/XMLSchema" xmlns:p="http://schemas.microsoft.com/office/2006/metadata/properties" xmlns:ns2="becc07a8-29d5-46c8-a63b-e55b299f6f10" xmlns:ns3="a15df84e-a0e8-4343-8c5f-30167ed4d8e8" targetNamespace="http://schemas.microsoft.com/office/2006/metadata/properties" ma:root="true" ma:fieldsID="af6986ff5ddd6d591a74842db9d0d909" ns2:_="" ns3:_="">
    <xsd:import namespace="becc07a8-29d5-46c8-a63b-e55b299f6f10"/>
    <xsd:import namespace="a15df84e-a0e8-4343-8c5f-30167ed4d8e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c07a8-29d5-46c8-a63b-e55b299f6f10"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5df84e-a0e8-4343-8c5f-30167ed4d8e8"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7505d7e3-0b34-4cfe-a275-233af0f5abbd}" ma:internalName="TaxCatchAll" ma:showField="CatchAllData" ma:web="a15df84e-a0e8-4343-8c5f-30167ed4d8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01049-3B14-4262-92C4-800962B85AB6}">
  <ds:schemaRefs>
    <ds:schemaRef ds:uri="http://schemas.microsoft.com/sharepoint/v3/contenttype/forms"/>
  </ds:schemaRefs>
</ds:datastoreItem>
</file>

<file path=customXml/itemProps2.xml><?xml version="1.0" encoding="utf-8"?>
<ds:datastoreItem xmlns:ds="http://schemas.openxmlformats.org/officeDocument/2006/customXml" ds:itemID="{2DCE7144-743C-476F-AACD-2C012A3FEC4C}">
  <ds:schemaRefs>
    <ds:schemaRef ds:uri="http://schemas.microsoft.com/office/2006/metadata/properties"/>
    <ds:schemaRef ds:uri="http://schemas.microsoft.com/office/infopath/2007/PartnerControls"/>
    <ds:schemaRef ds:uri="407e9e5e-6601-40fb-aa1b-91c55aa1cc5b"/>
  </ds:schemaRefs>
</ds:datastoreItem>
</file>

<file path=customXml/itemProps3.xml><?xml version="1.0" encoding="utf-8"?>
<ds:datastoreItem xmlns:ds="http://schemas.openxmlformats.org/officeDocument/2006/customXml" ds:itemID="{BFAAD1D4-36AE-4377-B949-C1A5D985447C}"/>
</file>

<file path=docProps/app.xml><?xml version="1.0" encoding="utf-8"?>
<Properties xmlns="http://schemas.openxmlformats.org/officeDocument/2006/extended-properties" xmlns:vt="http://schemas.openxmlformats.org/officeDocument/2006/docPropsVTypes">
  <Template>Equality duties framework (1)</Template>
  <TotalTime>0</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Links>
    <vt:vector size="24" baseType="variant">
      <vt:variant>
        <vt:i4>3014754</vt:i4>
      </vt:variant>
      <vt:variant>
        <vt:i4>9</vt:i4>
      </vt:variant>
      <vt:variant>
        <vt:i4>0</vt:i4>
      </vt:variant>
      <vt:variant>
        <vt:i4>5</vt:i4>
      </vt:variant>
      <vt:variant>
        <vt:lpwstr>https://www.gov.uk/definition-of-disability-under-equality-act-2010</vt:lpwstr>
      </vt:variant>
      <vt:variant>
        <vt:lpwstr/>
      </vt:variant>
      <vt:variant>
        <vt:i4>327694</vt:i4>
      </vt:variant>
      <vt:variant>
        <vt:i4>6</vt:i4>
      </vt:variant>
      <vt:variant>
        <vt:i4>0</vt:i4>
      </vt:variant>
      <vt:variant>
        <vt:i4>5</vt:i4>
      </vt:variant>
      <vt:variant>
        <vt:lpwstr>https://www.gov.uk/working-when-pregnant-your-rights</vt:lpwstr>
      </vt:variant>
      <vt:variant>
        <vt:lpwstr/>
      </vt:variant>
      <vt:variant>
        <vt:i4>7798846</vt:i4>
      </vt:variant>
      <vt:variant>
        <vt:i4>3</vt:i4>
      </vt:variant>
      <vt:variant>
        <vt:i4>0</vt:i4>
      </vt:variant>
      <vt:variant>
        <vt:i4>5</vt:i4>
      </vt:variant>
      <vt:variant>
        <vt:lpwstr>http://www.equalityhumanrights.com/sites/default/files/psed_essential_guide_-_guidance_for_english_public_bodies.pdf</vt:lpwstr>
      </vt:variant>
      <vt:variant>
        <vt:lpwstr/>
      </vt:variant>
      <vt:variant>
        <vt:i4>7798846</vt:i4>
      </vt:variant>
      <vt:variant>
        <vt:i4>0</vt:i4>
      </vt:variant>
      <vt:variant>
        <vt:i4>0</vt:i4>
      </vt:variant>
      <vt:variant>
        <vt:i4>5</vt:i4>
      </vt:variant>
      <vt:variant>
        <vt:lpwstr>http://www.equalityhumanrights.com/sites/default/files/psed_essential_guide_-_guidance_for_english_public_bodies.pdf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 Groenewald</dc:creator>
  <cp:keywords/>
  <dc:description/>
  <cp:lastModifiedBy>Denise de Borde</cp:lastModifiedBy>
  <cp:revision>2</cp:revision>
  <cp:lastPrinted>2022-09-02T13:45:00Z</cp:lastPrinted>
  <dcterms:created xsi:type="dcterms:W3CDTF">2026-09-24T11:28:00Z</dcterms:created>
  <dcterms:modified xsi:type="dcterms:W3CDTF">2026-09-24T11:28:00Z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17 for Word</vt:lpwstr>
  </property>
  <property fmtid="{D5CDD505-2E9C-101B-9397-08002B2CF9AE}" pid="3" name="ContentTypeId">
    <vt:lpwstr>0x0101007C4724477E469640AF270FE301B8E242</vt:lpwstr>
  </property>
</Properties>
</file>